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9C" w:rsidRPr="00BA68B5" w:rsidRDefault="00D9239C" w:rsidP="004D4302">
      <w:pPr>
        <w:tabs>
          <w:tab w:val="left" w:pos="709"/>
        </w:tabs>
        <w:rPr>
          <w:rFonts w:ascii="Times New Roman" w:hAnsi="Times New Roman" w:cs="Times New Roman"/>
          <w:sz w:val="4"/>
          <w:szCs w:val="4"/>
        </w:rPr>
      </w:pPr>
      <w:bookmarkStart w:id="0" w:name="_Toc480912869"/>
      <w:bookmarkStart w:id="1" w:name="_Toc478055541"/>
      <w:bookmarkStart w:id="2" w:name="_GoBack"/>
      <w:bookmarkEnd w:id="2"/>
    </w:p>
    <w:p w:rsidR="007044E8" w:rsidRPr="00BA68B5" w:rsidRDefault="00F607C9" w:rsidP="00AE2F52">
      <w:pPr>
        <w:tabs>
          <w:tab w:val="left" w:pos="567"/>
          <w:tab w:val="left" w:pos="709"/>
        </w:tabs>
        <w:spacing w:after="0" w:line="240" w:lineRule="auto"/>
        <w:jc w:val="center"/>
        <w:rPr>
          <w:rFonts w:ascii="Times New Roman" w:eastAsia="Calibri" w:hAnsi="Times New Roman" w:cs="Times New Roman"/>
          <w:b/>
          <w:sz w:val="28"/>
          <w:szCs w:val="28"/>
          <w:shd w:val="clear" w:color="auto" w:fill="FFFFFF"/>
        </w:rPr>
      </w:pPr>
      <w:r>
        <w:rPr>
          <w:rFonts w:ascii="Times New Roman" w:eastAsia="Times New Roman" w:hAnsi="Times New Roman" w:cs="Times New Roman"/>
          <w:b/>
          <w:sz w:val="28"/>
          <w:szCs w:val="28"/>
        </w:rPr>
        <w:t>Обзор</w:t>
      </w:r>
      <w:r w:rsidR="007044E8" w:rsidRPr="00BA68B5">
        <w:rPr>
          <w:rFonts w:ascii="Times New Roman" w:eastAsia="Times New Roman" w:hAnsi="Times New Roman" w:cs="Times New Roman"/>
          <w:b/>
          <w:sz w:val="28"/>
          <w:szCs w:val="28"/>
        </w:rPr>
        <w:t xml:space="preserve"> правоприменительной практик</w:t>
      </w:r>
      <w:r>
        <w:rPr>
          <w:rFonts w:ascii="Times New Roman" w:eastAsia="Times New Roman" w:hAnsi="Times New Roman" w:cs="Times New Roman"/>
          <w:b/>
          <w:sz w:val="28"/>
          <w:szCs w:val="28"/>
        </w:rPr>
        <w:t>и</w:t>
      </w:r>
      <w:r w:rsidR="007044E8" w:rsidRPr="00BA68B5">
        <w:rPr>
          <w:rFonts w:ascii="Times New Roman" w:eastAsia="Times New Roman" w:hAnsi="Times New Roman" w:cs="Times New Roman"/>
          <w:b/>
          <w:sz w:val="28"/>
          <w:szCs w:val="28"/>
        </w:rPr>
        <w:t xml:space="preserve"> </w:t>
      </w:r>
      <w:r w:rsidR="00717B2F" w:rsidRPr="00BA68B5">
        <w:rPr>
          <w:rFonts w:ascii="Times New Roman" w:eastAsia="Times New Roman" w:hAnsi="Times New Roman" w:cs="Times New Roman"/>
          <w:b/>
          <w:sz w:val="28"/>
          <w:szCs w:val="28"/>
        </w:rPr>
        <w:t>Средне-Поволжско</w:t>
      </w:r>
      <w:r>
        <w:rPr>
          <w:rFonts w:ascii="Times New Roman" w:eastAsia="Times New Roman" w:hAnsi="Times New Roman" w:cs="Times New Roman"/>
          <w:b/>
          <w:sz w:val="28"/>
          <w:szCs w:val="28"/>
        </w:rPr>
        <w:t>го</w:t>
      </w:r>
      <w:r w:rsidR="00717B2F" w:rsidRPr="00BA68B5">
        <w:rPr>
          <w:rFonts w:ascii="Times New Roman" w:eastAsia="Times New Roman" w:hAnsi="Times New Roman" w:cs="Times New Roman"/>
          <w:b/>
          <w:sz w:val="28"/>
          <w:szCs w:val="28"/>
        </w:rPr>
        <w:t xml:space="preserve"> управлени</w:t>
      </w:r>
      <w:r>
        <w:rPr>
          <w:rFonts w:ascii="Times New Roman" w:eastAsia="Times New Roman" w:hAnsi="Times New Roman" w:cs="Times New Roman"/>
          <w:b/>
          <w:sz w:val="28"/>
          <w:szCs w:val="28"/>
        </w:rPr>
        <w:t>я</w:t>
      </w:r>
      <w:r w:rsidR="00717B2F" w:rsidRPr="00BA68B5">
        <w:rPr>
          <w:rFonts w:ascii="Times New Roman" w:eastAsia="Times New Roman" w:hAnsi="Times New Roman" w:cs="Times New Roman"/>
          <w:b/>
          <w:sz w:val="28"/>
          <w:szCs w:val="28"/>
        </w:rPr>
        <w:t xml:space="preserve"> </w:t>
      </w:r>
      <w:r w:rsidR="007044E8" w:rsidRPr="00BA68B5">
        <w:rPr>
          <w:rFonts w:ascii="Times New Roman" w:eastAsia="Times New Roman" w:hAnsi="Times New Roman" w:cs="Times New Roman"/>
          <w:b/>
          <w:sz w:val="28"/>
          <w:szCs w:val="28"/>
        </w:rPr>
        <w:t>Федеральной служб</w:t>
      </w:r>
      <w:r w:rsidR="00717B2F" w:rsidRPr="00BA68B5">
        <w:rPr>
          <w:rFonts w:ascii="Times New Roman" w:eastAsia="Times New Roman" w:hAnsi="Times New Roman" w:cs="Times New Roman"/>
          <w:b/>
          <w:sz w:val="28"/>
          <w:szCs w:val="28"/>
        </w:rPr>
        <w:t>ы</w:t>
      </w:r>
      <w:r w:rsidR="007044E8" w:rsidRPr="00BA68B5">
        <w:rPr>
          <w:rFonts w:ascii="Times New Roman" w:eastAsia="Times New Roman" w:hAnsi="Times New Roman" w:cs="Times New Roman"/>
          <w:b/>
          <w:sz w:val="28"/>
          <w:szCs w:val="28"/>
        </w:rPr>
        <w:t xml:space="preserve"> по экологическому, технологическому и атомному надзору </w:t>
      </w:r>
      <w:r w:rsidR="007044E8" w:rsidRPr="00BA68B5">
        <w:rPr>
          <w:rFonts w:ascii="Times New Roman" w:eastAsia="Calibri" w:hAnsi="Times New Roman" w:cs="Times New Roman"/>
          <w:b/>
          <w:sz w:val="28"/>
          <w:szCs w:val="28"/>
          <w:shd w:val="clear" w:color="auto" w:fill="FFFFFF"/>
        </w:rPr>
        <w:t xml:space="preserve">за </w:t>
      </w:r>
      <w:r w:rsidR="00083D6F" w:rsidRPr="00BA68B5">
        <w:rPr>
          <w:rFonts w:ascii="Times New Roman" w:eastAsia="Calibri" w:hAnsi="Times New Roman" w:cs="Times New Roman"/>
          <w:b/>
          <w:sz w:val="28"/>
          <w:szCs w:val="28"/>
          <w:shd w:val="clear" w:color="auto" w:fill="FFFFFF"/>
        </w:rPr>
        <w:t>6</w:t>
      </w:r>
      <w:r w:rsidR="00DA5F31" w:rsidRPr="00BA68B5">
        <w:rPr>
          <w:rFonts w:ascii="Times New Roman" w:eastAsia="Calibri" w:hAnsi="Times New Roman" w:cs="Times New Roman"/>
          <w:b/>
          <w:sz w:val="28"/>
          <w:szCs w:val="28"/>
          <w:shd w:val="clear" w:color="auto" w:fill="FFFFFF"/>
        </w:rPr>
        <w:t xml:space="preserve"> месяц</w:t>
      </w:r>
      <w:r w:rsidR="005679D4" w:rsidRPr="00BA68B5">
        <w:rPr>
          <w:rFonts w:ascii="Times New Roman" w:eastAsia="Calibri" w:hAnsi="Times New Roman" w:cs="Times New Roman"/>
          <w:b/>
          <w:sz w:val="28"/>
          <w:szCs w:val="28"/>
          <w:shd w:val="clear" w:color="auto" w:fill="FFFFFF"/>
        </w:rPr>
        <w:t>ев</w:t>
      </w:r>
      <w:r w:rsidR="000B646E" w:rsidRPr="00BA68B5">
        <w:rPr>
          <w:rFonts w:ascii="Times New Roman" w:eastAsia="Calibri" w:hAnsi="Times New Roman" w:cs="Times New Roman"/>
          <w:b/>
          <w:sz w:val="28"/>
          <w:szCs w:val="28"/>
          <w:shd w:val="clear" w:color="auto" w:fill="FFFFFF"/>
        </w:rPr>
        <w:t xml:space="preserve"> </w:t>
      </w:r>
      <w:r w:rsidR="006527D6" w:rsidRPr="00BA68B5">
        <w:rPr>
          <w:rFonts w:ascii="Times New Roman" w:eastAsia="Calibri" w:hAnsi="Times New Roman" w:cs="Times New Roman"/>
          <w:b/>
          <w:sz w:val="28"/>
          <w:szCs w:val="28"/>
          <w:shd w:val="clear" w:color="auto" w:fill="FFFFFF"/>
        </w:rPr>
        <w:t>20</w:t>
      </w:r>
      <w:r w:rsidR="00083D6F" w:rsidRPr="00BA68B5">
        <w:rPr>
          <w:rFonts w:ascii="Times New Roman" w:eastAsia="Calibri" w:hAnsi="Times New Roman" w:cs="Times New Roman"/>
          <w:b/>
          <w:sz w:val="28"/>
          <w:szCs w:val="28"/>
          <w:shd w:val="clear" w:color="auto" w:fill="FFFFFF"/>
        </w:rPr>
        <w:t>20</w:t>
      </w:r>
      <w:r w:rsidR="006527D6" w:rsidRPr="00BA68B5">
        <w:rPr>
          <w:rFonts w:ascii="Times New Roman" w:eastAsia="Calibri" w:hAnsi="Times New Roman" w:cs="Times New Roman"/>
          <w:b/>
          <w:sz w:val="28"/>
          <w:szCs w:val="28"/>
          <w:shd w:val="clear" w:color="auto" w:fill="FFFFFF"/>
        </w:rPr>
        <w:t xml:space="preserve"> год</w:t>
      </w:r>
      <w:r w:rsidR="000B646E" w:rsidRPr="00BA68B5">
        <w:rPr>
          <w:rFonts w:ascii="Times New Roman" w:eastAsia="Calibri" w:hAnsi="Times New Roman" w:cs="Times New Roman"/>
          <w:b/>
          <w:sz w:val="28"/>
          <w:szCs w:val="28"/>
          <w:shd w:val="clear" w:color="auto" w:fill="FFFFFF"/>
        </w:rPr>
        <w:t>а</w:t>
      </w:r>
    </w:p>
    <w:p w:rsidR="007044E8" w:rsidRPr="00BA68B5" w:rsidRDefault="007044E8" w:rsidP="000044FF">
      <w:pPr>
        <w:pStyle w:val="affe"/>
      </w:pPr>
    </w:p>
    <w:bookmarkEnd w:id="0"/>
    <w:p w:rsidR="006E224C" w:rsidRPr="00BA68B5" w:rsidRDefault="006E224C" w:rsidP="00AE2F52">
      <w:pPr>
        <w:tabs>
          <w:tab w:val="left" w:pos="567"/>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Настоящий </w:t>
      </w:r>
      <w:r w:rsidR="00F607C9">
        <w:rPr>
          <w:rFonts w:ascii="Times New Roman" w:eastAsia="Times New Roman" w:hAnsi="Times New Roman" w:cs="Times New Roman"/>
          <w:sz w:val="28"/>
          <w:szCs w:val="28"/>
          <w:lang w:eastAsia="ru-RU"/>
        </w:rPr>
        <w:t>обзор</w:t>
      </w:r>
      <w:r w:rsidR="00CF74DE" w:rsidRPr="00BA68B5">
        <w:rPr>
          <w:rFonts w:ascii="Times New Roman" w:eastAsia="Times New Roman" w:hAnsi="Times New Roman" w:cs="Times New Roman"/>
          <w:sz w:val="28"/>
          <w:szCs w:val="28"/>
          <w:lang w:eastAsia="ru-RU"/>
        </w:rPr>
        <w:t xml:space="preserve"> правоприменительной практик</w:t>
      </w:r>
      <w:r w:rsidR="00F607C9">
        <w:rPr>
          <w:rFonts w:ascii="Times New Roman" w:eastAsia="Times New Roman" w:hAnsi="Times New Roman" w:cs="Times New Roman"/>
          <w:sz w:val="28"/>
          <w:szCs w:val="28"/>
          <w:lang w:eastAsia="ru-RU"/>
        </w:rPr>
        <w:t>и</w:t>
      </w:r>
      <w:r w:rsidR="00CF74DE" w:rsidRPr="00BA68B5">
        <w:rPr>
          <w:rFonts w:ascii="Times New Roman" w:eastAsia="Times New Roman" w:hAnsi="Times New Roman" w:cs="Times New Roman"/>
          <w:sz w:val="28"/>
          <w:szCs w:val="28"/>
          <w:lang w:eastAsia="ru-RU"/>
        </w:rPr>
        <w:t xml:space="preserve"> </w:t>
      </w:r>
      <w:r w:rsidR="00717B2F" w:rsidRPr="00BA68B5">
        <w:rPr>
          <w:rFonts w:ascii="Times New Roman" w:eastAsia="Times New Roman" w:hAnsi="Times New Roman" w:cs="Times New Roman"/>
          <w:sz w:val="28"/>
          <w:szCs w:val="28"/>
          <w:lang w:eastAsia="ru-RU"/>
        </w:rPr>
        <w:t>Средне-Поволжско</w:t>
      </w:r>
      <w:r w:rsidR="00F607C9">
        <w:rPr>
          <w:rFonts w:ascii="Times New Roman" w:eastAsia="Times New Roman" w:hAnsi="Times New Roman" w:cs="Times New Roman"/>
          <w:sz w:val="28"/>
          <w:szCs w:val="28"/>
          <w:lang w:eastAsia="ru-RU"/>
        </w:rPr>
        <w:t>го</w:t>
      </w:r>
      <w:r w:rsidR="00717B2F" w:rsidRPr="00BA68B5">
        <w:rPr>
          <w:rFonts w:ascii="Times New Roman" w:eastAsia="Times New Roman" w:hAnsi="Times New Roman" w:cs="Times New Roman"/>
          <w:sz w:val="28"/>
          <w:szCs w:val="28"/>
          <w:lang w:eastAsia="ru-RU"/>
        </w:rPr>
        <w:t xml:space="preserve"> управлени</w:t>
      </w:r>
      <w:r w:rsidR="00F607C9">
        <w:rPr>
          <w:rFonts w:ascii="Times New Roman" w:eastAsia="Times New Roman" w:hAnsi="Times New Roman" w:cs="Times New Roman"/>
          <w:sz w:val="28"/>
          <w:szCs w:val="28"/>
          <w:lang w:eastAsia="ru-RU"/>
        </w:rPr>
        <w:t>я</w:t>
      </w:r>
      <w:r w:rsidR="00717B2F" w:rsidRPr="00BA68B5">
        <w:rPr>
          <w:rFonts w:ascii="Times New Roman" w:eastAsia="Times New Roman" w:hAnsi="Times New Roman" w:cs="Times New Roman"/>
          <w:sz w:val="28"/>
          <w:szCs w:val="28"/>
          <w:lang w:eastAsia="ru-RU"/>
        </w:rPr>
        <w:t xml:space="preserve"> </w:t>
      </w:r>
      <w:r w:rsidR="00CF74DE" w:rsidRPr="00BA68B5">
        <w:rPr>
          <w:rFonts w:ascii="Times New Roman" w:eastAsia="Times New Roman" w:hAnsi="Times New Roman" w:cs="Times New Roman"/>
          <w:sz w:val="28"/>
          <w:szCs w:val="28"/>
          <w:lang w:eastAsia="ru-RU"/>
        </w:rPr>
        <w:t>Федеральной служб</w:t>
      </w:r>
      <w:r w:rsidR="00717B2F" w:rsidRPr="00BA68B5">
        <w:rPr>
          <w:rFonts w:ascii="Times New Roman" w:eastAsia="Times New Roman" w:hAnsi="Times New Roman" w:cs="Times New Roman"/>
          <w:sz w:val="28"/>
          <w:szCs w:val="28"/>
          <w:lang w:eastAsia="ru-RU"/>
        </w:rPr>
        <w:t>ы</w:t>
      </w:r>
      <w:r w:rsidR="00CF74DE" w:rsidRPr="00BA68B5">
        <w:rPr>
          <w:rFonts w:ascii="Times New Roman" w:eastAsia="Times New Roman" w:hAnsi="Times New Roman" w:cs="Times New Roman"/>
          <w:sz w:val="28"/>
          <w:szCs w:val="28"/>
          <w:lang w:eastAsia="ru-RU"/>
        </w:rPr>
        <w:t xml:space="preserve"> по экологическому, технологическому и атомному надзору </w:t>
      </w:r>
      <w:r w:rsidR="00FF7E7E" w:rsidRPr="00BA68B5">
        <w:rPr>
          <w:rFonts w:ascii="Times New Roman" w:eastAsia="Times New Roman" w:hAnsi="Times New Roman" w:cs="Times New Roman"/>
          <w:sz w:val="28"/>
          <w:szCs w:val="28"/>
          <w:lang w:eastAsia="ru-RU"/>
        </w:rPr>
        <w:t xml:space="preserve">(далее – Средне-Поволжское управление Ростехнадзора) </w:t>
      </w:r>
      <w:r w:rsidR="00CF74DE" w:rsidRPr="00BA68B5">
        <w:rPr>
          <w:rFonts w:ascii="Times New Roman" w:eastAsia="Times New Roman" w:hAnsi="Times New Roman" w:cs="Times New Roman"/>
          <w:sz w:val="28"/>
          <w:szCs w:val="28"/>
          <w:lang w:eastAsia="ru-RU"/>
        </w:rPr>
        <w:t xml:space="preserve">за </w:t>
      </w:r>
      <w:r w:rsidR="00083D6F" w:rsidRPr="00BA68B5">
        <w:rPr>
          <w:rFonts w:ascii="Times New Roman" w:eastAsia="Times New Roman" w:hAnsi="Times New Roman" w:cs="Times New Roman"/>
          <w:sz w:val="28"/>
          <w:szCs w:val="28"/>
          <w:lang w:eastAsia="ru-RU"/>
        </w:rPr>
        <w:t>6</w:t>
      </w:r>
      <w:r w:rsidR="00DA5F31" w:rsidRPr="00BA68B5">
        <w:rPr>
          <w:rFonts w:ascii="Times New Roman" w:eastAsia="Times New Roman" w:hAnsi="Times New Roman" w:cs="Times New Roman"/>
          <w:sz w:val="28"/>
          <w:szCs w:val="28"/>
          <w:lang w:eastAsia="ru-RU"/>
        </w:rPr>
        <w:t xml:space="preserve"> месяц</w:t>
      </w:r>
      <w:r w:rsidR="005679D4" w:rsidRPr="00BA68B5">
        <w:rPr>
          <w:rFonts w:ascii="Times New Roman" w:eastAsia="Times New Roman" w:hAnsi="Times New Roman" w:cs="Times New Roman"/>
          <w:sz w:val="28"/>
          <w:szCs w:val="28"/>
          <w:lang w:eastAsia="ru-RU"/>
        </w:rPr>
        <w:t>ев</w:t>
      </w:r>
      <w:r w:rsidR="000B646E" w:rsidRPr="00BA68B5">
        <w:rPr>
          <w:rFonts w:ascii="Times New Roman" w:eastAsia="Times New Roman" w:hAnsi="Times New Roman" w:cs="Times New Roman"/>
          <w:sz w:val="28"/>
          <w:szCs w:val="28"/>
          <w:lang w:eastAsia="ru-RU"/>
        </w:rPr>
        <w:t xml:space="preserve"> </w:t>
      </w:r>
      <w:r w:rsidR="00CF74DE" w:rsidRPr="00BA68B5">
        <w:rPr>
          <w:rFonts w:ascii="Times New Roman" w:eastAsia="Times New Roman" w:hAnsi="Times New Roman" w:cs="Times New Roman"/>
          <w:sz w:val="28"/>
          <w:szCs w:val="28"/>
          <w:lang w:eastAsia="ru-RU"/>
        </w:rPr>
        <w:t>20</w:t>
      </w:r>
      <w:r w:rsidR="00083D6F" w:rsidRPr="00BA68B5">
        <w:rPr>
          <w:rFonts w:ascii="Times New Roman" w:eastAsia="Times New Roman" w:hAnsi="Times New Roman" w:cs="Times New Roman"/>
          <w:sz w:val="28"/>
          <w:szCs w:val="28"/>
          <w:lang w:eastAsia="ru-RU"/>
        </w:rPr>
        <w:t>20</w:t>
      </w:r>
      <w:r w:rsidR="00CF74DE" w:rsidRPr="00BA68B5">
        <w:rPr>
          <w:rFonts w:ascii="Times New Roman" w:eastAsia="Times New Roman" w:hAnsi="Times New Roman" w:cs="Times New Roman"/>
          <w:sz w:val="28"/>
          <w:szCs w:val="28"/>
          <w:lang w:eastAsia="ru-RU"/>
        </w:rPr>
        <w:t xml:space="preserve"> год</w:t>
      </w:r>
      <w:r w:rsidR="000B646E" w:rsidRPr="00BA68B5">
        <w:rPr>
          <w:rFonts w:ascii="Times New Roman" w:eastAsia="Times New Roman" w:hAnsi="Times New Roman" w:cs="Times New Roman"/>
          <w:sz w:val="28"/>
          <w:szCs w:val="28"/>
          <w:lang w:eastAsia="ru-RU"/>
        </w:rPr>
        <w:t>а</w:t>
      </w:r>
      <w:r w:rsidR="00CF74DE" w:rsidRPr="00BA68B5">
        <w:rPr>
          <w:rFonts w:ascii="Times New Roman" w:eastAsia="Times New Roman" w:hAnsi="Times New Roman" w:cs="Times New Roman"/>
          <w:sz w:val="28"/>
          <w:szCs w:val="28"/>
          <w:lang w:eastAsia="ru-RU"/>
        </w:rPr>
        <w:t xml:space="preserve"> сформирован</w:t>
      </w:r>
      <w:r w:rsidR="00023FD3" w:rsidRPr="00BA68B5">
        <w:rPr>
          <w:rFonts w:ascii="Times New Roman" w:eastAsia="Times New Roman" w:hAnsi="Times New Roman" w:cs="Times New Roman"/>
          <w:sz w:val="28"/>
          <w:szCs w:val="28"/>
          <w:lang w:eastAsia="ru-RU"/>
        </w:rPr>
        <w:t xml:space="preserve"> </w:t>
      </w:r>
      <w:r w:rsidR="00DD6E28">
        <w:rPr>
          <w:rFonts w:ascii="Times New Roman" w:eastAsia="Times New Roman" w:hAnsi="Times New Roman" w:cs="Times New Roman"/>
          <w:sz w:val="28"/>
          <w:szCs w:val="28"/>
          <w:lang w:eastAsia="ru-RU"/>
        </w:rPr>
        <w:t>в</w:t>
      </w:r>
      <w:r w:rsidR="00DD6E28" w:rsidRPr="00DD6E28">
        <w:rPr>
          <w:rFonts w:ascii="Times New Roman" w:eastAsia="Times New Roman" w:hAnsi="Times New Roman" w:cs="Times New Roman"/>
          <w:sz w:val="28"/>
          <w:szCs w:val="28"/>
          <w:lang w:eastAsia="ru-RU" w:bidi="ru-RU"/>
        </w:rPr>
        <w:t>о исполнение пунктов 34 постановления Правительства Российской Федерации от 26 декабря 2018 г</w:t>
      </w:r>
      <w:r w:rsidR="00DD6E28">
        <w:rPr>
          <w:rFonts w:ascii="Times New Roman" w:eastAsia="Times New Roman" w:hAnsi="Times New Roman" w:cs="Times New Roman"/>
          <w:sz w:val="28"/>
          <w:szCs w:val="28"/>
          <w:lang w:eastAsia="ru-RU" w:bidi="ru-RU"/>
        </w:rPr>
        <w:t>ода</w:t>
      </w:r>
      <w:r w:rsidR="00DD6E28" w:rsidRPr="00DD6E28">
        <w:rPr>
          <w:rFonts w:ascii="Times New Roman" w:eastAsia="Times New Roman" w:hAnsi="Times New Roman" w:cs="Times New Roman"/>
          <w:sz w:val="28"/>
          <w:szCs w:val="28"/>
          <w:lang w:eastAsia="ru-RU" w:bidi="ru-RU"/>
        </w:rPr>
        <w:t xml:space="preserve">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DD6E28">
        <w:rPr>
          <w:rFonts w:ascii="Times New Roman" w:eastAsia="Times New Roman" w:hAnsi="Times New Roman" w:cs="Times New Roman"/>
          <w:sz w:val="28"/>
          <w:szCs w:val="28"/>
          <w:lang w:eastAsia="ru-RU" w:bidi="ru-RU"/>
        </w:rPr>
        <w:t>.</w:t>
      </w:r>
    </w:p>
    <w:p w:rsidR="00717B2F" w:rsidRPr="00BA68B5" w:rsidRDefault="00717B2F" w:rsidP="000044FF">
      <w:pPr>
        <w:pStyle w:val="affe"/>
        <w:rPr>
          <w:lang w:eastAsia="ru-RU"/>
        </w:rPr>
      </w:pPr>
    </w:p>
    <w:p w:rsidR="00717B2F" w:rsidRPr="00BA68B5" w:rsidRDefault="00717B2F" w:rsidP="004D4302">
      <w:pPr>
        <w:pStyle w:val="affe"/>
        <w:tabs>
          <w:tab w:val="left" w:pos="709"/>
        </w:tabs>
        <w:jc w:val="center"/>
        <w:rPr>
          <w:rFonts w:ascii="Times New Roman" w:hAnsi="Times New Roman"/>
          <w:b/>
          <w:sz w:val="28"/>
          <w:szCs w:val="28"/>
        </w:rPr>
      </w:pPr>
      <w:r w:rsidRPr="00BA68B5">
        <w:rPr>
          <w:rFonts w:ascii="Times New Roman" w:hAnsi="Times New Roman"/>
          <w:b/>
          <w:sz w:val="28"/>
          <w:szCs w:val="28"/>
          <w:lang w:eastAsia="ru-RU"/>
        </w:rPr>
        <w:t>I</w:t>
      </w:r>
      <w:r w:rsidRPr="00BA68B5">
        <w:rPr>
          <w:b/>
          <w:lang w:eastAsia="ru-RU"/>
        </w:rPr>
        <w:t>.</w:t>
      </w:r>
      <w:r w:rsidRPr="00BA68B5">
        <w:rPr>
          <w:lang w:eastAsia="ru-RU"/>
        </w:rPr>
        <w:tab/>
      </w:r>
      <w:r w:rsidRPr="00BA68B5">
        <w:rPr>
          <w:rFonts w:ascii="Times New Roman" w:hAnsi="Times New Roman"/>
          <w:b/>
          <w:sz w:val="28"/>
          <w:szCs w:val="28"/>
        </w:rPr>
        <w:t>Федеральный государственный надзор в области</w:t>
      </w:r>
    </w:p>
    <w:p w:rsidR="00717B2F" w:rsidRPr="00BA68B5" w:rsidRDefault="00717B2F" w:rsidP="004D4302">
      <w:pPr>
        <w:pStyle w:val="affe"/>
        <w:tabs>
          <w:tab w:val="left" w:pos="709"/>
        </w:tabs>
        <w:jc w:val="center"/>
        <w:rPr>
          <w:rFonts w:ascii="Times New Roman" w:hAnsi="Times New Roman"/>
          <w:b/>
          <w:sz w:val="28"/>
          <w:szCs w:val="28"/>
        </w:rPr>
      </w:pPr>
      <w:r w:rsidRPr="00BA68B5">
        <w:rPr>
          <w:rFonts w:ascii="Times New Roman" w:hAnsi="Times New Roman"/>
          <w:b/>
          <w:sz w:val="28"/>
          <w:szCs w:val="28"/>
        </w:rPr>
        <w:t>промышленной безопасности</w:t>
      </w:r>
    </w:p>
    <w:p w:rsidR="00717B2F" w:rsidRPr="00BA68B5" w:rsidRDefault="00717B2F" w:rsidP="00D21A1F">
      <w:pPr>
        <w:pStyle w:val="affe"/>
        <w:rPr>
          <w:rFonts w:ascii="Times New Roman" w:hAnsi="Times New Roman"/>
          <w:sz w:val="28"/>
          <w:szCs w:val="28"/>
          <w:lang w:eastAsia="ru-RU"/>
        </w:rPr>
      </w:pPr>
    </w:p>
    <w:p w:rsidR="006527D6" w:rsidRPr="00BA68B5" w:rsidRDefault="006527D6" w:rsidP="004D4302">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За 6 месяцев 2020 года Средне-Поволжским управлением Ростехнадзора проведено 923 проверки в отношении юридических лиц и индивидуальных предпринимателей, эксплуатирующих опасные производственные объекты.</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Из общего количества проведенных проверок плановые проверки составили 16,5% (153 проверки), внеплановые проверки – 62,4% (576 проверок).</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252 проверки (43,7 %);</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w:t>
      </w:r>
      <w:r w:rsidRPr="00BA68B5">
        <w:rPr>
          <w:rFonts w:ascii="Times New Roman" w:eastAsia="Times New Roman" w:hAnsi="Times New Roman" w:cs="Times New Roman"/>
          <w:sz w:val="28"/>
          <w:szCs w:val="28"/>
          <w:lang w:eastAsia="ru-RU"/>
        </w:rPr>
        <w:lastRenderedPageBreak/>
        <w:t>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30 проверок (5,2 %);</w:t>
      </w:r>
    </w:p>
    <w:p w:rsidR="00B46FEF" w:rsidRPr="00BA68B5" w:rsidRDefault="00B46FEF" w:rsidP="00B46FEF">
      <w:pPr>
        <w:tabs>
          <w:tab w:val="left" w:pos="709"/>
        </w:tabs>
        <w:spacing w:after="0" w:line="360" w:lineRule="auto"/>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ab/>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прокуратуры – 0 проверок (0 %).</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на опасных производственных объектах I класса опасности в рамках режима постоянного государственного надзора проведено 194 проверки (21,1% от общего количества проведенных за 6 месяцев 2020 года проверок) мероприятий по контролю. </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по итогам проведения 923 проверок выявлено 7448 правонарушений. Столько нарушений допустили 351 юридическое лицо </w:t>
      </w:r>
      <w:r w:rsidRPr="00BA68B5">
        <w:rPr>
          <w:rFonts w:ascii="Times New Roman" w:eastAsia="Times New Roman" w:hAnsi="Times New Roman" w:cs="Times New Roman"/>
          <w:sz w:val="28"/>
          <w:szCs w:val="28"/>
          <w:lang w:eastAsia="ru-RU"/>
        </w:rPr>
        <w:br/>
        <w:t>и индивидуальный предприниматель.</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Общее количество административных наказаний, наложенных по итогам проверок, составило 642, а общая сумма наложенных административных штрафов составила 46918,5 тыс. рублей.</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течение 6 месяцев 2020 года 98 раз применялась мера профилактического воздействия в виде предостережения, выдано 121 предупреждение.</w:t>
      </w: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по сравнению с аналогичным периодом 2019 года произошло снижение количества проведенных проверок. Это обусловлено исключением плановых проверок из ежегодных планов проведения плановых проверок юридических лиц и индивидуальных предпринимателей, а также ограничением проведения внеплановых проверок на основании Постановления Правительства РФ от 3 апреля 2020 г. № 438 «Об особенностях осуществления в 2020 году государственного контроля (надзора), муниципального контроля и </w:t>
      </w:r>
      <w:r w:rsidRPr="00BA68B5">
        <w:rPr>
          <w:rFonts w:ascii="Times New Roman" w:eastAsia="Times New Roman" w:hAnsi="Times New Roman" w:cs="Times New Roman"/>
          <w:sz w:val="28"/>
          <w:szCs w:val="28"/>
          <w:lang w:eastAsia="ru-RU"/>
        </w:rPr>
        <w:lastRenderedPageBreak/>
        <w:t>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201A2" w:rsidRPr="00BA68B5" w:rsidRDefault="009201A2" w:rsidP="004D4302">
      <w:pPr>
        <w:tabs>
          <w:tab w:val="left" w:pos="709"/>
        </w:tabs>
        <w:spacing w:after="0" w:line="240" w:lineRule="auto"/>
        <w:ind w:firstLine="680"/>
        <w:jc w:val="center"/>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Динамика аварийности и травматизма на опасных производственных объектах за </w:t>
      </w:r>
      <w:r w:rsidR="00083D6F" w:rsidRPr="00BA68B5">
        <w:rPr>
          <w:rFonts w:ascii="Times New Roman" w:eastAsia="Times New Roman" w:hAnsi="Times New Roman" w:cs="Times New Roman"/>
          <w:bCs/>
          <w:sz w:val="28"/>
          <w:szCs w:val="28"/>
          <w:lang w:eastAsia="ru-RU"/>
        </w:rPr>
        <w:t>6</w:t>
      </w:r>
      <w:r w:rsidR="00DA5F31" w:rsidRPr="00BA68B5">
        <w:rPr>
          <w:rFonts w:ascii="Times New Roman" w:eastAsia="Times New Roman" w:hAnsi="Times New Roman" w:cs="Times New Roman"/>
          <w:bCs/>
          <w:sz w:val="28"/>
          <w:szCs w:val="28"/>
          <w:lang w:eastAsia="ru-RU"/>
        </w:rPr>
        <w:t xml:space="preserve"> месяц</w:t>
      </w:r>
      <w:r w:rsidR="005679D4" w:rsidRPr="00BA68B5">
        <w:rPr>
          <w:rFonts w:ascii="Times New Roman" w:eastAsia="Times New Roman" w:hAnsi="Times New Roman" w:cs="Times New Roman"/>
          <w:bCs/>
          <w:sz w:val="28"/>
          <w:szCs w:val="28"/>
          <w:lang w:eastAsia="ru-RU"/>
        </w:rPr>
        <w:t>ев</w:t>
      </w:r>
      <w:r w:rsidRPr="00BA68B5">
        <w:rPr>
          <w:rFonts w:ascii="Times New Roman" w:eastAsia="Times New Roman" w:hAnsi="Times New Roman" w:cs="Times New Roman"/>
          <w:bCs/>
          <w:sz w:val="28"/>
          <w:szCs w:val="28"/>
          <w:lang w:eastAsia="ru-RU"/>
        </w:rPr>
        <w:t xml:space="preserve"> 201</w:t>
      </w:r>
      <w:r w:rsidR="00083D6F" w:rsidRPr="00BA68B5">
        <w:rPr>
          <w:rFonts w:ascii="Times New Roman" w:eastAsia="Times New Roman" w:hAnsi="Times New Roman" w:cs="Times New Roman"/>
          <w:bCs/>
          <w:sz w:val="28"/>
          <w:szCs w:val="28"/>
          <w:lang w:eastAsia="ru-RU"/>
        </w:rPr>
        <w:t>9</w:t>
      </w:r>
      <w:r w:rsidRPr="00BA68B5">
        <w:rPr>
          <w:rFonts w:ascii="Times New Roman" w:eastAsia="Times New Roman" w:hAnsi="Times New Roman" w:cs="Times New Roman"/>
          <w:bCs/>
          <w:sz w:val="28"/>
          <w:szCs w:val="28"/>
          <w:lang w:eastAsia="ru-RU"/>
        </w:rPr>
        <w:t>-20</w:t>
      </w:r>
      <w:r w:rsidR="00083D6F" w:rsidRPr="00BA68B5">
        <w:rPr>
          <w:rFonts w:ascii="Times New Roman" w:eastAsia="Times New Roman" w:hAnsi="Times New Roman" w:cs="Times New Roman"/>
          <w:bCs/>
          <w:sz w:val="28"/>
          <w:szCs w:val="28"/>
          <w:lang w:eastAsia="ru-RU"/>
        </w:rPr>
        <w:t>20</w:t>
      </w:r>
      <w:r w:rsidR="00E1306E" w:rsidRPr="00BA68B5">
        <w:rPr>
          <w:rFonts w:ascii="Times New Roman" w:eastAsia="Times New Roman" w:hAnsi="Times New Roman" w:cs="Times New Roman"/>
          <w:bCs/>
          <w:sz w:val="28"/>
          <w:szCs w:val="28"/>
          <w:lang w:eastAsia="ru-RU"/>
        </w:rPr>
        <w:t>гг.</w:t>
      </w:r>
    </w:p>
    <w:p w:rsidR="009201A2" w:rsidRPr="00BA68B5" w:rsidRDefault="009201A2" w:rsidP="000044FF">
      <w:pPr>
        <w:pStyle w:val="affe"/>
        <w:rPr>
          <w:lang w:eastAsia="ru-RU"/>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828"/>
        <w:gridCol w:w="2977"/>
        <w:gridCol w:w="2835"/>
      </w:tblGrid>
      <w:tr w:rsidR="009201A2" w:rsidRPr="00BA68B5" w:rsidTr="009201A2">
        <w:trPr>
          <w:trHeight w:val="562"/>
          <w:jc w:val="center"/>
        </w:trPr>
        <w:tc>
          <w:tcPr>
            <w:tcW w:w="3828" w:type="dxa"/>
            <w:shd w:val="clear" w:color="auto" w:fill="auto"/>
            <w:tcMar>
              <w:top w:w="15" w:type="dxa"/>
              <w:left w:w="15" w:type="dxa"/>
              <w:bottom w:w="0" w:type="dxa"/>
              <w:right w:w="15" w:type="dxa"/>
            </w:tcMar>
            <w:vAlign w:val="center"/>
            <w:hideMark/>
          </w:tcPr>
          <w:p w:rsidR="009201A2" w:rsidRPr="00BA68B5" w:rsidRDefault="009201A2" w:rsidP="004D4302">
            <w:pPr>
              <w:tabs>
                <w:tab w:val="left" w:pos="709"/>
              </w:tabs>
              <w:spacing w:after="0" w:line="240" w:lineRule="auto"/>
              <w:ind w:firstLine="680"/>
              <w:jc w:val="both"/>
              <w:rPr>
                <w:rFonts w:ascii="Times New Roman" w:eastAsia="Times New Roman" w:hAnsi="Times New Roman" w:cs="Times New Roman"/>
                <w:sz w:val="16"/>
                <w:szCs w:val="16"/>
                <w:lang w:eastAsia="ru-RU"/>
              </w:rPr>
            </w:pPr>
          </w:p>
        </w:tc>
        <w:tc>
          <w:tcPr>
            <w:tcW w:w="2977" w:type="dxa"/>
            <w:shd w:val="clear" w:color="auto" w:fill="auto"/>
            <w:tcMar>
              <w:top w:w="15" w:type="dxa"/>
              <w:left w:w="15" w:type="dxa"/>
              <w:bottom w:w="0" w:type="dxa"/>
              <w:right w:w="15" w:type="dxa"/>
            </w:tcMar>
            <w:vAlign w:val="center"/>
            <w:hideMark/>
          </w:tcPr>
          <w:p w:rsidR="009201A2" w:rsidRPr="00BA68B5" w:rsidRDefault="00B46FEF" w:rsidP="00B46FEF">
            <w:pPr>
              <w:tabs>
                <w:tab w:val="left" w:pos="709"/>
              </w:tabs>
              <w:spacing w:after="0" w:line="240" w:lineRule="auto"/>
              <w:ind w:firstLine="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6</w:t>
            </w:r>
            <w:r w:rsidR="00DA5F31" w:rsidRPr="00BA68B5">
              <w:rPr>
                <w:rFonts w:ascii="Times New Roman" w:eastAsia="Times New Roman" w:hAnsi="Times New Roman" w:cs="Times New Roman"/>
                <w:sz w:val="24"/>
                <w:szCs w:val="24"/>
                <w:lang w:eastAsia="ru-RU"/>
              </w:rPr>
              <w:t xml:space="preserve"> месяц</w:t>
            </w:r>
            <w:r w:rsidR="00156A98" w:rsidRPr="00BA68B5">
              <w:rPr>
                <w:rFonts w:ascii="Times New Roman" w:eastAsia="Times New Roman" w:hAnsi="Times New Roman" w:cs="Times New Roman"/>
                <w:sz w:val="24"/>
                <w:szCs w:val="24"/>
                <w:lang w:eastAsia="ru-RU"/>
              </w:rPr>
              <w:t>ев</w:t>
            </w:r>
            <w:r w:rsidR="009201A2" w:rsidRPr="00BA68B5">
              <w:rPr>
                <w:rFonts w:ascii="Times New Roman" w:eastAsia="Times New Roman" w:hAnsi="Times New Roman" w:cs="Times New Roman"/>
                <w:sz w:val="24"/>
                <w:szCs w:val="24"/>
                <w:lang w:eastAsia="ru-RU"/>
              </w:rPr>
              <w:t xml:space="preserve"> 201</w:t>
            </w:r>
            <w:r w:rsidRPr="00BA68B5">
              <w:rPr>
                <w:rFonts w:ascii="Times New Roman" w:eastAsia="Times New Roman" w:hAnsi="Times New Roman" w:cs="Times New Roman"/>
                <w:sz w:val="24"/>
                <w:szCs w:val="24"/>
                <w:lang w:eastAsia="ru-RU"/>
              </w:rPr>
              <w:t>9</w:t>
            </w:r>
            <w:r w:rsidR="009201A2" w:rsidRPr="00BA68B5">
              <w:rPr>
                <w:rFonts w:ascii="Times New Roman" w:eastAsia="Times New Roman" w:hAnsi="Times New Roman" w:cs="Times New Roman"/>
                <w:sz w:val="24"/>
                <w:szCs w:val="24"/>
                <w:lang w:eastAsia="ru-RU"/>
              </w:rPr>
              <w:t xml:space="preserve"> года</w:t>
            </w:r>
          </w:p>
        </w:tc>
        <w:tc>
          <w:tcPr>
            <w:tcW w:w="2835" w:type="dxa"/>
            <w:shd w:val="clear" w:color="auto" w:fill="auto"/>
            <w:tcMar>
              <w:top w:w="15" w:type="dxa"/>
              <w:left w:w="15" w:type="dxa"/>
              <w:bottom w:w="0" w:type="dxa"/>
              <w:right w:w="15" w:type="dxa"/>
            </w:tcMar>
            <w:vAlign w:val="center"/>
            <w:hideMark/>
          </w:tcPr>
          <w:p w:rsidR="009201A2" w:rsidRPr="00BA68B5" w:rsidRDefault="00B46FEF" w:rsidP="00B46FEF">
            <w:pPr>
              <w:tabs>
                <w:tab w:val="left" w:pos="709"/>
              </w:tabs>
              <w:spacing w:after="0" w:line="240" w:lineRule="auto"/>
              <w:ind w:firstLine="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6</w:t>
            </w:r>
            <w:r w:rsidR="009201A2" w:rsidRPr="00BA68B5">
              <w:rPr>
                <w:rFonts w:ascii="Times New Roman" w:eastAsia="Times New Roman" w:hAnsi="Times New Roman" w:cs="Times New Roman"/>
                <w:bCs/>
                <w:sz w:val="24"/>
                <w:szCs w:val="24"/>
                <w:lang w:eastAsia="ru-RU"/>
              </w:rPr>
              <w:t xml:space="preserve"> </w:t>
            </w:r>
            <w:r w:rsidR="00DA5F31" w:rsidRPr="00BA68B5">
              <w:rPr>
                <w:rFonts w:ascii="Times New Roman" w:eastAsia="Times New Roman" w:hAnsi="Times New Roman" w:cs="Times New Roman"/>
                <w:bCs/>
                <w:sz w:val="24"/>
                <w:szCs w:val="24"/>
                <w:lang w:eastAsia="ru-RU"/>
              </w:rPr>
              <w:t>месяц</w:t>
            </w:r>
            <w:r w:rsidR="00156A98" w:rsidRPr="00BA68B5">
              <w:rPr>
                <w:rFonts w:ascii="Times New Roman" w:eastAsia="Times New Roman" w:hAnsi="Times New Roman" w:cs="Times New Roman"/>
                <w:bCs/>
                <w:sz w:val="24"/>
                <w:szCs w:val="24"/>
                <w:lang w:eastAsia="ru-RU"/>
              </w:rPr>
              <w:t>ев</w:t>
            </w:r>
            <w:r w:rsidR="009201A2" w:rsidRPr="00BA68B5">
              <w:rPr>
                <w:rFonts w:ascii="Times New Roman" w:eastAsia="Times New Roman" w:hAnsi="Times New Roman" w:cs="Times New Roman"/>
                <w:bCs/>
                <w:sz w:val="24"/>
                <w:szCs w:val="24"/>
                <w:lang w:eastAsia="ru-RU"/>
              </w:rPr>
              <w:t xml:space="preserve"> 20</w:t>
            </w:r>
            <w:r w:rsidRPr="00BA68B5">
              <w:rPr>
                <w:rFonts w:ascii="Times New Roman" w:eastAsia="Times New Roman" w:hAnsi="Times New Roman" w:cs="Times New Roman"/>
                <w:bCs/>
                <w:sz w:val="24"/>
                <w:szCs w:val="24"/>
                <w:lang w:eastAsia="ru-RU"/>
              </w:rPr>
              <w:t>20</w:t>
            </w:r>
            <w:r w:rsidR="009201A2" w:rsidRPr="00BA68B5">
              <w:rPr>
                <w:rFonts w:ascii="Times New Roman" w:eastAsia="Times New Roman" w:hAnsi="Times New Roman" w:cs="Times New Roman"/>
                <w:bCs/>
                <w:sz w:val="24"/>
                <w:szCs w:val="24"/>
                <w:lang w:eastAsia="ru-RU"/>
              </w:rPr>
              <w:t xml:space="preserve"> года</w:t>
            </w:r>
          </w:p>
        </w:tc>
      </w:tr>
      <w:tr w:rsidR="00B46FEF" w:rsidRPr="00BA68B5" w:rsidTr="00156A98">
        <w:trPr>
          <w:trHeight w:val="360"/>
          <w:jc w:val="center"/>
        </w:trPr>
        <w:tc>
          <w:tcPr>
            <w:tcW w:w="3828" w:type="dxa"/>
            <w:shd w:val="clear" w:color="auto" w:fill="auto"/>
            <w:tcMar>
              <w:top w:w="15" w:type="dxa"/>
              <w:left w:w="15" w:type="dxa"/>
              <w:bottom w:w="0" w:type="dxa"/>
              <w:right w:w="15" w:type="dxa"/>
            </w:tcMar>
            <w:hideMark/>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Число аварий</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2</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r>
      <w:tr w:rsidR="00B46FEF" w:rsidRPr="00BA68B5" w:rsidTr="00156A98">
        <w:trPr>
          <w:trHeight w:val="394"/>
          <w:jc w:val="center"/>
        </w:trPr>
        <w:tc>
          <w:tcPr>
            <w:tcW w:w="3828" w:type="dxa"/>
            <w:shd w:val="clear" w:color="auto" w:fill="auto"/>
            <w:tcMar>
              <w:top w:w="15" w:type="dxa"/>
              <w:left w:w="15" w:type="dxa"/>
              <w:bottom w:w="0" w:type="dxa"/>
              <w:right w:w="15" w:type="dxa"/>
            </w:tcMar>
            <w:hideMark/>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Групповые несчастные случаи</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B46FEF" w:rsidRPr="00BA68B5" w:rsidTr="00156A98">
        <w:trPr>
          <w:trHeight w:val="401"/>
          <w:jc w:val="center"/>
        </w:trPr>
        <w:tc>
          <w:tcPr>
            <w:tcW w:w="3828" w:type="dxa"/>
            <w:shd w:val="clear" w:color="auto" w:fill="auto"/>
            <w:tcMar>
              <w:top w:w="15" w:type="dxa"/>
              <w:left w:w="15" w:type="dxa"/>
              <w:bottom w:w="0" w:type="dxa"/>
              <w:right w:w="15" w:type="dxa"/>
            </w:tcMar>
            <w:hideMark/>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Несчастные случаи</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B46FEF" w:rsidRPr="00BA68B5" w:rsidTr="00156A98">
        <w:trPr>
          <w:trHeight w:val="567"/>
          <w:jc w:val="center"/>
        </w:trPr>
        <w:tc>
          <w:tcPr>
            <w:tcW w:w="3828" w:type="dxa"/>
            <w:shd w:val="clear" w:color="auto" w:fill="auto"/>
            <w:tcMar>
              <w:top w:w="15" w:type="dxa"/>
              <w:left w:w="15" w:type="dxa"/>
              <w:bottom w:w="0" w:type="dxa"/>
              <w:right w:w="15" w:type="dxa"/>
            </w:tcMar>
            <w:hideMark/>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bCs/>
                <w:sz w:val="24"/>
                <w:szCs w:val="24"/>
                <w:lang w:eastAsia="ru-RU"/>
              </w:rPr>
            </w:pPr>
            <w:r w:rsidRPr="00BA68B5">
              <w:rPr>
                <w:rFonts w:ascii="Times New Roman" w:eastAsia="Times New Roman" w:hAnsi="Times New Roman" w:cs="Times New Roman"/>
                <w:bCs/>
                <w:sz w:val="24"/>
                <w:szCs w:val="24"/>
                <w:lang w:eastAsia="ru-RU"/>
              </w:rPr>
              <w:t>Всего пострадало человек,</w:t>
            </w:r>
          </w:p>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из них:</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B46FEF" w:rsidRPr="00BA68B5" w:rsidTr="00156A98">
        <w:trPr>
          <w:trHeight w:val="373"/>
          <w:jc w:val="center"/>
        </w:trPr>
        <w:tc>
          <w:tcPr>
            <w:tcW w:w="3828" w:type="dxa"/>
            <w:shd w:val="clear" w:color="auto" w:fill="auto"/>
            <w:tcMar>
              <w:top w:w="15" w:type="dxa"/>
              <w:left w:w="15" w:type="dxa"/>
              <w:bottom w:w="0" w:type="dxa"/>
              <w:right w:w="15" w:type="dxa"/>
            </w:tcMar>
            <w:hideMark/>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со смертельным исходом</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B46FEF" w:rsidRPr="00BA68B5" w:rsidTr="00156A98">
        <w:trPr>
          <w:trHeight w:val="406"/>
          <w:jc w:val="center"/>
        </w:trPr>
        <w:tc>
          <w:tcPr>
            <w:tcW w:w="3828" w:type="dxa"/>
            <w:shd w:val="clear" w:color="auto" w:fill="auto"/>
            <w:tcMar>
              <w:top w:w="15" w:type="dxa"/>
              <w:left w:w="15" w:type="dxa"/>
              <w:bottom w:w="0" w:type="dxa"/>
              <w:right w:w="15" w:type="dxa"/>
            </w:tcMar>
            <w:hideMark/>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с тяжелым исходом</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B46FEF" w:rsidRPr="00BA68B5" w:rsidTr="00156A98">
        <w:trPr>
          <w:trHeight w:val="406"/>
          <w:jc w:val="center"/>
        </w:trPr>
        <w:tc>
          <w:tcPr>
            <w:tcW w:w="3828" w:type="dxa"/>
            <w:shd w:val="clear" w:color="auto" w:fill="auto"/>
            <w:tcMar>
              <w:top w:w="15" w:type="dxa"/>
              <w:left w:w="15" w:type="dxa"/>
              <w:bottom w:w="0" w:type="dxa"/>
              <w:right w:w="15" w:type="dxa"/>
            </w:tcMar>
          </w:tcPr>
          <w:p w:rsidR="00B46FEF" w:rsidRPr="00BA68B5" w:rsidRDefault="00B46FEF" w:rsidP="004D4302">
            <w:pPr>
              <w:tabs>
                <w:tab w:val="left" w:pos="709"/>
              </w:tabs>
              <w:spacing w:after="0" w:line="240" w:lineRule="auto"/>
              <w:ind w:firstLine="269"/>
              <w:jc w:val="both"/>
              <w:rPr>
                <w:rFonts w:ascii="Times New Roman" w:eastAsia="Times New Roman" w:hAnsi="Times New Roman" w:cs="Times New Roman"/>
                <w:bCs/>
                <w:sz w:val="24"/>
                <w:szCs w:val="24"/>
                <w:lang w:eastAsia="ru-RU"/>
              </w:rPr>
            </w:pPr>
            <w:r w:rsidRPr="00BA68B5">
              <w:rPr>
                <w:rFonts w:ascii="Times New Roman" w:eastAsia="Times New Roman" w:hAnsi="Times New Roman" w:cs="Times New Roman"/>
                <w:bCs/>
                <w:sz w:val="24"/>
                <w:szCs w:val="24"/>
                <w:lang w:eastAsia="ru-RU"/>
              </w:rPr>
              <w:t>с легким исходом</w:t>
            </w:r>
          </w:p>
        </w:tc>
        <w:tc>
          <w:tcPr>
            <w:tcW w:w="2977"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tcPr>
          <w:p w:rsidR="00B46FEF" w:rsidRPr="00BA68B5" w:rsidRDefault="00B46FEF" w:rsidP="00634FCF">
            <w:pPr>
              <w:tabs>
                <w:tab w:val="left" w:pos="709"/>
              </w:tabs>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bl>
    <w:p w:rsidR="009201A2" w:rsidRPr="00BA68B5" w:rsidRDefault="009201A2" w:rsidP="004D4302">
      <w:pPr>
        <w:tabs>
          <w:tab w:val="left" w:pos="709"/>
        </w:tabs>
        <w:spacing w:after="0" w:line="240" w:lineRule="auto"/>
        <w:ind w:firstLine="680"/>
        <w:jc w:val="center"/>
        <w:rPr>
          <w:rFonts w:ascii="Times New Roman" w:eastAsia="Times New Roman" w:hAnsi="Times New Roman" w:cs="Times New Roman"/>
          <w:bCs/>
          <w:sz w:val="28"/>
          <w:szCs w:val="28"/>
          <w:lang w:eastAsia="ru-RU"/>
        </w:rPr>
      </w:pPr>
    </w:p>
    <w:p w:rsidR="00B46FEF" w:rsidRPr="00BA68B5" w:rsidRDefault="00B46FEF" w:rsidP="00B46FEF">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Сравнительный анализ распределения аварийности и несчастных случаев за 6 месяцев 2019 года и 6 месяцев 2020 года показывает увеличение количества произошедших аварий.</w:t>
      </w:r>
    </w:p>
    <w:p w:rsidR="006527D6" w:rsidRPr="00BA68B5" w:rsidRDefault="00FF7E7E" w:rsidP="003F22FD">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Средне-Поволжском управлении Ростехнадзора </w:t>
      </w:r>
      <w:r w:rsidR="006527D6" w:rsidRPr="00BA68B5">
        <w:rPr>
          <w:rFonts w:ascii="Times New Roman" w:eastAsia="Times New Roman" w:hAnsi="Times New Roman" w:cs="Times New Roman"/>
          <w:sz w:val="28"/>
          <w:szCs w:val="28"/>
          <w:lang w:eastAsia="ru-RU"/>
        </w:rPr>
        <w:t xml:space="preserve">систематически проводится работа по анализу причин аварийности и травматизма </w:t>
      </w:r>
      <w:r w:rsidR="004D4302" w:rsidRPr="00BA68B5">
        <w:rPr>
          <w:rFonts w:ascii="Times New Roman" w:eastAsia="Times New Roman" w:hAnsi="Times New Roman" w:cs="Times New Roman"/>
          <w:sz w:val="28"/>
          <w:szCs w:val="28"/>
          <w:lang w:eastAsia="ru-RU"/>
        </w:rPr>
        <w:br/>
      </w:r>
      <w:r w:rsidR="006527D6" w:rsidRPr="00BA68B5">
        <w:rPr>
          <w:rFonts w:ascii="Times New Roman" w:eastAsia="Times New Roman" w:hAnsi="Times New Roman" w:cs="Times New Roman"/>
          <w:sz w:val="28"/>
          <w:szCs w:val="28"/>
          <w:lang w:eastAsia="ru-RU"/>
        </w:rPr>
        <w:t xml:space="preserve">в поднадзорных организациях. </w:t>
      </w:r>
      <w:r w:rsidR="006527D6" w:rsidRPr="00BA68B5">
        <w:rPr>
          <w:rFonts w:ascii="Times New Roman" w:hAnsi="Times New Roman" w:cs="Times New Roman"/>
          <w:sz w:val="28"/>
          <w:szCs w:val="28"/>
          <w:lang w:eastAsia="ru-RU"/>
        </w:rPr>
        <w:t xml:space="preserve">Ежеквартально информационные письма с анализом аварийности и травматизма размещаются на сайте </w:t>
      </w:r>
      <w:r w:rsidR="00C00312" w:rsidRPr="00BA68B5">
        <w:rPr>
          <w:rFonts w:ascii="Times New Roman" w:hAnsi="Times New Roman" w:cs="Times New Roman"/>
          <w:sz w:val="28"/>
          <w:szCs w:val="28"/>
          <w:lang w:eastAsia="ru-RU"/>
        </w:rPr>
        <w:t>Средне-Поволжского у</w:t>
      </w:r>
      <w:r w:rsidR="006527D6" w:rsidRPr="00BA68B5">
        <w:rPr>
          <w:rFonts w:ascii="Times New Roman" w:hAnsi="Times New Roman" w:cs="Times New Roman"/>
          <w:sz w:val="28"/>
          <w:szCs w:val="28"/>
          <w:lang w:eastAsia="ru-RU"/>
        </w:rPr>
        <w:t>правления</w:t>
      </w:r>
      <w:r w:rsidR="00C00312" w:rsidRPr="00BA68B5">
        <w:rPr>
          <w:rFonts w:ascii="Times New Roman" w:hAnsi="Times New Roman" w:cs="Times New Roman"/>
          <w:sz w:val="28"/>
          <w:szCs w:val="28"/>
          <w:lang w:eastAsia="ru-RU"/>
        </w:rPr>
        <w:t xml:space="preserve"> Ростехнадзора</w:t>
      </w:r>
      <w:r w:rsidR="006527D6" w:rsidRPr="00BA68B5">
        <w:rPr>
          <w:rFonts w:ascii="Times New Roman" w:hAnsi="Times New Roman" w:cs="Times New Roman"/>
          <w:sz w:val="28"/>
          <w:szCs w:val="28"/>
          <w:lang w:eastAsia="ru-RU"/>
        </w:rPr>
        <w:t xml:space="preserve"> и направляются поднадзорным организациям, материалы по указанной тематике регулярно размещаются в специализированном журнале «Промышленная безопасность». </w:t>
      </w:r>
      <w:r w:rsidR="006527D6" w:rsidRPr="00BA68B5">
        <w:rPr>
          <w:rFonts w:ascii="Times New Roman" w:eastAsia="Times New Roman" w:hAnsi="Times New Roman" w:cs="Times New Roman"/>
          <w:sz w:val="28"/>
          <w:szCs w:val="28"/>
          <w:lang w:eastAsia="ru-RU"/>
        </w:rPr>
        <w:t>При проведении технической учебы с инспекторским составом проводится анализ характерных причин и нарушений норм и правил, приводящих к авариям и несчастным случаям.</w:t>
      </w:r>
    </w:p>
    <w:p w:rsidR="00634FCF" w:rsidRPr="00BA68B5" w:rsidRDefault="00634FCF" w:rsidP="00634FCF">
      <w:pPr>
        <w:pStyle w:val="affe"/>
        <w:rPr>
          <w:rFonts w:ascii="Times New Roman" w:hAnsi="Times New Roman"/>
          <w:sz w:val="28"/>
          <w:szCs w:val="28"/>
        </w:rPr>
      </w:pPr>
      <w:bookmarkStart w:id="3" w:name="_Toc480912871"/>
      <w:bookmarkEnd w:id="1"/>
    </w:p>
    <w:p w:rsidR="001654DA" w:rsidRPr="00BA68B5" w:rsidRDefault="001654DA" w:rsidP="004D4302">
      <w:pPr>
        <w:tabs>
          <w:tab w:val="left" w:pos="709"/>
        </w:tabs>
        <w:jc w:val="center"/>
        <w:rPr>
          <w:rFonts w:ascii="Times New Roman" w:hAnsi="Times New Roman" w:cs="Times New Roman"/>
          <w:b/>
          <w:sz w:val="28"/>
          <w:szCs w:val="28"/>
        </w:rPr>
      </w:pPr>
      <w:r w:rsidRPr="00BA68B5">
        <w:rPr>
          <w:rFonts w:ascii="Times New Roman" w:hAnsi="Times New Roman" w:cs="Times New Roman"/>
          <w:b/>
          <w:sz w:val="28"/>
          <w:szCs w:val="28"/>
        </w:rPr>
        <w:t>Угольная промышленность</w:t>
      </w:r>
      <w:bookmarkEnd w:id="3"/>
    </w:p>
    <w:p w:rsidR="003E4DC8" w:rsidRPr="00BA68B5" w:rsidRDefault="003E4DC8" w:rsidP="003E4DC8">
      <w:pPr>
        <w:pStyle w:val="affe"/>
        <w:spacing w:line="360" w:lineRule="auto"/>
        <w:ind w:firstLine="709"/>
        <w:rPr>
          <w:rFonts w:ascii="Times New Roman" w:hAnsi="Times New Roman"/>
          <w:sz w:val="28"/>
          <w:szCs w:val="28"/>
          <w:lang w:eastAsia="ru-RU"/>
        </w:rPr>
      </w:pPr>
      <w:bookmarkStart w:id="4" w:name="_Toc480912872"/>
      <w:r w:rsidRPr="00BA68B5">
        <w:rPr>
          <w:rFonts w:ascii="Times New Roman" w:hAnsi="Times New Roman"/>
          <w:sz w:val="28"/>
          <w:szCs w:val="28"/>
          <w:lang w:eastAsia="ru-RU"/>
        </w:rPr>
        <w:lastRenderedPageBreak/>
        <w:t>Федеральный государственный надзор в области промышленной безопасности Средне-Поволжским управлением Ростехнадзора осуществляется на одном опасном производственном объекте, отнесенном к угольной промышленности.</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Предприятие осуществляет добычу горючего сланца для производства ихтиола на Новокашпирском месторождении, расположенном в Сызранском районе Самарской области, которое относится к керогеносодерж</w:t>
      </w:r>
      <w:r w:rsidR="00DD450E" w:rsidRPr="00BA68B5">
        <w:rPr>
          <w:rFonts w:ascii="Times New Roman" w:hAnsi="Times New Roman"/>
          <w:sz w:val="28"/>
          <w:szCs w:val="28"/>
          <w:lang w:eastAsia="ru-RU"/>
        </w:rPr>
        <w:t>а</w:t>
      </w:r>
      <w:r w:rsidRPr="00BA68B5">
        <w:rPr>
          <w:rFonts w:ascii="Times New Roman" w:hAnsi="Times New Roman"/>
          <w:sz w:val="28"/>
          <w:szCs w:val="28"/>
          <w:lang w:eastAsia="ru-RU"/>
        </w:rPr>
        <w:t>щим, разведочные выработки месторождения являются несиликозоопасными, месторождение не относится к взрывоопасным (по критерию взрывоопасности пыли), а также является неопасным по газу, внезапным выбросам и горным ударам. Добытый горючий сланец в дальнейшем используется для производства медицинских и ветеринарных субстанций.</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 xml:space="preserve">Горные работы на предприятии ведутся в соответствии с лицензией на право пользования недрами от 24.11.2016 г. СМР 02165 ТЭ сроком окончания действия - 31.12.2054 г., целевое назначение которой - разведка и добыча полезных ископаемых. </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 xml:space="preserve">Предприятие имеет лицензию на </w:t>
      </w:r>
      <w:r w:rsidR="00E32F3A" w:rsidRPr="00BA68B5">
        <w:rPr>
          <w:rFonts w:ascii="Times New Roman" w:hAnsi="Times New Roman"/>
          <w:sz w:val="28"/>
          <w:szCs w:val="28"/>
          <w:lang w:eastAsia="ru-RU"/>
        </w:rPr>
        <w:t>э</w:t>
      </w:r>
      <w:r w:rsidRPr="00BA68B5">
        <w:rPr>
          <w:rFonts w:ascii="Times New Roman" w:hAnsi="Times New Roman"/>
          <w:sz w:val="28"/>
          <w:szCs w:val="28"/>
          <w:lang w:eastAsia="ru-RU"/>
        </w:rPr>
        <w:t>ксплуатаци</w:t>
      </w:r>
      <w:r w:rsidR="00E32F3A" w:rsidRPr="00BA68B5">
        <w:rPr>
          <w:rFonts w:ascii="Times New Roman" w:hAnsi="Times New Roman"/>
          <w:sz w:val="28"/>
          <w:szCs w:val="28"/>
          <w:lang w:eastAsia="ru-RU"/>
        </w:rPr>
        <w:t>ю</w:t>
      </w:r>
      <w:r w:rsidRPr="00BA68B5">
        <w:rPr>
          <w:rFonts w:ascii="Times New Roman" w:hAnsi="Times New Roman"/>
          <w:sz w:val="28"/>
          <w:szCs w:val="28"/>
          <w:lang w:eastAsia="ru-RU"/>
        </w:rPr>
        <w:t xml:space="preserve"> взрывопожароопасных и химически опасных производственных объектов I, II и III классов опасности от 24.01.2018№ ВХ-53-027485 (ГС) (бессрочная).</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В соответствии со ст. 10 Федерального закона от 21.07.1997 № 116-ФЗ «О промышленной безопасности опасных производственных объектов» на предприятии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 Предприятие имеет согласованный план ликвидации аварии.</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 xml:space="preserve">В соответствии с установленной периодичностью проведения контрольных мероприятий за 6 месяцев 2020 года </w:t>
      </w:r>
      <w:r w:rsidR="00730F09" w:rsidRPr="00BA68B5">
        <w:rPr>
          <w:rFonts w:ascii="Times New Roman" w:hAnsi="Times New Roman"/>
          <w:sz w:val="28"/>
          <w:szCs w:val="28"/>
          <w:lang w:eastAsia="ru-RU"/>
        </w:rPr>
        <w:t xml:space="preserve">Средне-Поволжским управлением Ростехнадзора </w:t>
      </w:r>
      <w:r w:rsidRPr="00BA68B5">
        <w:rPr>
          <w:rFonts w:ascii="Times New Roman" w:hAnsi="Times New Roman"/>
          <w:sz w:val="28"/>
          <w:szCs w:val="28"/>
          <w:lang w:eastAsia="ru-RU"/>
        </w:rPr>
        <w:t>не планировались  и не проводились.</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В аналогичном периоде 2019 году была проведена плановая проверка. По результатам проведения проверки выявлено 32 нарушения в области промышленной безопасности и маркшейдерского обеспечения пользования недрами. Предприятию выдано предписание об устранении выявленных нарушений. Возбуждено 2 дела об административных правонарушениях по ч. 1 ст. 9.1. Кодекса Российской Федерации об административных правонарушениях, а именно: в отношении юридического лица и в отношении должностного лица.</w:t>
      </w:r>
    </w:p>
    <w:p w:rsidR="003E4DC8" w:rsidRPr="00BA68B5" w:rsidRDefault="003E4DC8" w:rsidP="003E4DC8">
      <w:pPr>
        <w:pStyle w:val="affe"/>
        <w:spacing w:line="360" w:lineRule="auto"/>
        <w:ind w:firstLine="709"/>
        <w:rPr>
          <w:rFonts w:ascii="Times New Roman" w:hAnsi="Times New Roman"/>
          <w:sz w:val="28"/>
          <w:szCs w:val="28"/>
          <w:lang w:eastAsia="ru-RU"/>
        </w:rPr>
      </w:pPr>
      <w:r w:rsidRPr="00BA68B5">
        <w:rPr>
          <w:rFonts w:ascii="Times New Roman" w:hAnsi="Times New Roman"/>
          <w:sz w:val="28"/>
          <w:szCs w:val="28"/>
          <w:lang w:eastAsia="ru-RU"/>
        </w:rPr>
        <w:t>В марте 2020 года в качестве профилактического мероприятия на предприятие направлено информационное письмо с целью донесения имеющейся в Ростехнадзоре статистики  аварийности и смертельного травматизма в угольной отрасли за 2019 год и анализа результатов расследования вышеуказанных случаев.</w:t>
      </w:r>
    </w:p>
    <w:p w:rsidR="00C516DE" w:rsidRPr="00BA68B5" w:rsidRDefault="00C516DE" w:rsidP="00BA68B5">
      <w:pPr>
        <w:pStyle w:val="affe"/>
      </w:pPr>
    </w:p>
    <w:p w:rsidR="001654DA" w:rsidRPr="00BA68B5" w:rsidRDefault="001654DA" w:rsidP="004D4302">
      <w:pPr>
        <w:tabs>
          <w:tab w:val="left" w:pos="709"/>
        </w:tabs>
        <w:spacing w:after="0" w:line="360" w:lineRule="auto"/>
        <w:jc w:val="center"/>
        <w:rPr>
          <w:rFonts w:ascii="Times New Roman" w:eastAsia="Times New Roman" w:hAnsi="Times New Roman" w:cs="Times New Roman"/>
          <w:b/>
          <w:bCs/>
          <w:color w:val="000000"/>
          <w:sz w:val="28"/>
          <w:szCs w:val="28"/>
          <w:lang w:eastAsia="ru-RU"/>
        </w:rPr>
      </w:pPr>
      <w:r w:rsidRPr="00BA68B5">
        <w:rPr>
          <w:rFonts w:ascii="Times New Roman" w:eastAsia="Times New Roman" w:hAnsi="Times New Roman" w:cs="Times New Roman"/>
          <w:b/>
          <w:bCs/>
          <w:color w:val="000000"/>
          <w:sz w:val="28"/>
          <w:szCs w:val="28"/>
          <w:lang w:eastAsia="ru-RU"/>
        </w:rPr>
        <w:t>Горнорудная и нерудная промышленность</w:t>
      </w:r>
      <w:bookmarkEnd w:id="4"/>
    </w:p>
    <w:p w:rsidR="00CD2E61" w:rsidRPr="00BA68B5" w:rsidRDefault="00CD2E61" w:rsidP="00634FCF">
      <w:pPr>
        <w:pStyle w:val="affe"/>
        <w:rPr>
          <w:lang w:eastAsia="ru-RU"/>
        </w:rPr>
      </w:pP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Средне-Поволжским управлением Ростехнадзора надзор и контроль в области промышленной безопасности в области горнорудной и нерудной промышленности осуществляется на 30 предприятиях, эксплуатирующих 32 опасных производственных объектов II и III классов опасности, на территории Самарской, Саратовской и Пензенской областей. </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За 6 месяцев 2020 года, как и в аналогичном периоде 2019 года, аварии и случаи производственного травматизма на предприятиях не зарегистрированы. </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Средне-Поволжским управлением Ростехнадзора за 6 месяцев 2020 года проведено 3 проверки, из которых: </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1 внеплановая проверка соответствия соискателя лицензии на производство работ по эксплуатации взрывопожароопасных и химически опасных производственных объектов I, II и III классов опасности лицензионным требованиям (по результатам проведения которой установлено соответствие соискателя лицензии лицензионным требованиям);</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2 внеплановые проверки ранее выданных предписаний (случаев невыполнения предписаний не выявлено).</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В аналогичном периоде 2019 года проведено 5 проверок, из которых 3 проверки проведены в рамках плана проведения плановых проверок (выявлено 53 нарушения, наложено 3 административных наказания в виде штрафов) и 2 проверка соответствия соискателя лицензии лицензионным требованиям. </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Снижение показателей надзорной деятельности за 6 месяцев 2020 года обусловлено особенностями осуществления в 2020 году государственного контроля (надзора) в части проведения внеплановых проверок и внесенными изменениями в ежегодный план проведения плановых проверок юридических лиц и индивидуальных предпринимателей, принятыми </w:t>
      </w:r>
      <w:r w:rsidR="00730F09" w:rsidRPr="00BA68B5">
        <w:rPr>
          <w:rFonts w:ascii="Times New Roman" w:eastAsia="Times New Roman" w:hAnsi="Times New Roman" w:cs="Times New Roman"/>
          <w:bCs/>
          <w:sz w:val="28"/>
          <w:szCs w:val="28"/>
          <w:lang w:eastAsia="ru-RU"/>
        </w:rPr>
        <w:t>Средне-Поволжским у</w:t>
      </w:r>
      <w:r w:rsidRPr="00BA68B5">
        <w:rPr>
          <w:rFonts w:ascii="Times New Roman" w:eastAsia="Times New Roman" w:hAnsi="Times New Roman" w:cs="Times New Roman"/>
          <w:bCs/>
          <w:sz w:val="28"/>
          <w:szCs w:val="28"/>
          <w:lang w:eastAsia="ru-RU"/>
        </w:rPr>
        <w:t>правлением</w:t>
      </w:r>
      <w:r w:rsidR="00730F09" w:rsidRPr="00BA68B5">
        <w:rPr>
          <w:rFonts w:ascii="Times New Roman" w:eastAsia="Times New Roman" w:hAnsi="Times New Roman" w:cs="Times New Roman"/>
          <w:bCs/>
          <w:sz w:val="28"/>
          <w:szCs w:val="28"/>
          <w:lang w:eastAsia="ru-RU"/>
        </w:rPr>
        <w:t xml:space="preserve"> Ростехнадзора</w:t>
      </w:r>
      <w:r w:rsidRPr="00BA68B5">
        <w:rPr>
          <w:rFonts w:ascii="Times New Roman" w:eastAsia="Times New Roman" w:hAnsi="Times New Roman" w:cs="Times New Roman"/>
          <w:bCs/>
          <w:sz w:val="28"/>
          <w:szCs w:val="28"/>
          <w:lang w:eastAsia="ru-RU"/>
        </w:rPr>
        <w:t xml:space="preserve"> в ходе реализации соответствующих поручений и постановлений Правительства РФ, связанных с введением ограничительных мер, направленных на недопущение распространения новой коронавирусной инфекции (COVID-19).</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Основной проблемой горных предприятий остается слабый производственный контроль со стороны самих предприятий, медленная модернизация производств с заменой основного и вспомогательного технологического оборудования и слабая организация проведения ремонтных работ.</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Также на многих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вследствие чего руководители предприятий организовывают совмещение выполняемых работ рабочими на опасных производственных объектах. </w:t>
      </w:r>
    </w:p>
    <w:p w:rsidR="00607365" w:rsidRPr="00BA68B5" w:rsidRDefault="00607365" w:rsidP="00607365">
      <w:pPr>
        <w:spacing w:after="0" w:line="360" w:lineRule="auto"/>
        <w:ind w:firstLine="708"/>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Состояние промышленной безопасности на подконтрольных Средне-Поволжскому управлению Ростехнадзора горных предприятиях в целом находится в удовлетворительном состоянии.</w:t>
      </w:r>
    </w:p>
    <w:p w:rsidR="00E32F3A" w:rsidRPr="00BA68B5" w:rsidRDefault="00E32F3A" w:rsidP="00E32F3A">
      <w:pPr>
        <w:pStyle w:val="affe"/>
        <w:rPr>
          <w:rFonts w:ascii="Times New Roman" w:hAnsi="Times New Roman"/>
          <w:sz w:val="28"/>
          <w:szCs w:val="28"/>
        </w:rPr>
      </w:pPr>
      <w:bookmarkStart w:id="5" w:name="_Toc480912874"/>
      <w:bookmarkStart w:id="6" w:name="_Toc480912875"/>
      <w:bookmarkStart w:id="7" w:name="_Toc480912873"/>
    </w:p>
    <w:p w:rsidR="00330760" w:rsidRPr="00BA68B5" w:rsidRDefault="00330760" w:rsidP="004D4302">
      <w:pPr>
        <w:tabs>
          <w:tab w:val="left" w:pos="709"/>
        </w:tabs>
        <w:spacing w:line="360" w:lineRule="auto"/>
        <w:jc w:val="center"/>
        <w:rPr>
          <w:rFonts w:ascii="Times New Roman" w:hAnsi="Times New Roman" w:cs="Times New Roman"/>
          <w:b/>
          <w:sz w:val="28"/>
          <w:szCs w:val="28"/>
        </w:rPr>
      </w:pPr>
      <w:r w:rsidRPr="00BA68B5">
        <w:rPr>
          <w:rFonts w:ascii="Times New Roman" w:hAnsi="Times New Roman" w:cs="Times New Roman"/>
          <w:b/>
          <w:sz w:val="28"/>
          <w:szCs w:val="28"/>
        </w:rPr>
        <w:t>Объекты нефтегазодобывающей промышленности</w:t>
      </w:r>
    </w:p>
    <w:p w:rsidR="00BA68B5" w:rsidRDefault="003E4DC8" w:rsidP="00B61741">
      <w:pPr>
        <w:tabs>
          <w:tab w:val="left" w:pos="180"/>
        </w:tabs>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Федеральный государственный надзор в области промышленной безопасности Средне-Поволжским управлением Ростехнадзора осуществляется в отношении 1129 опасных производственных объектах нефтегазодобычи на территории Самарской, Ульяновской, Пензенской, Саратовской областей.</w:t>
      </w:r>
    </w:p>
    <w:p w:rsidR="00BA68B5" w:rsidRDefault="00BA68B5" w:rsidP="00BA68B5">
      <w:pPr>
        <w:pStyle w:val="affe"/>
      </w:pPr>
    </w:p>
    <w:p w:rsidR="003E4DC8" w:rsidRPr="00BA68B5" w:rsidRDefault="003E4DC8" w:rsidP="00BA68B5">
      <w:pPr>
        <w:tabs>
          <w:tab w:val="left" w:pos="180"/>
        </w:tabs>
        <w:spacing w:after="0" w:line="360" w:lineRule="auto"/>
        <w:jc w:val="center"/>
        <w:rPr>
          <w:rFonts w:ascii="Times New Roman" w:eastAsia="Calibri" w:hAnsi="Times New Roman" w:cs="Times New Roman"/>
          <w:color w:val="000000"/>
          <w:sz w:val="28"/>
          <w:szCs w:val="28"/>
        </w:rPr>
      </w:pPr>
      <w:r w:rsidRPr="00BA68B5">
        <w:rPr>
          <w:rFonts w:ascii="Calibri" w:eastAsia="Calibri" w:hAnsi="Calibri" w:cs="Times New Roman"/>
          <w:noProof/>
          <w:lang w:eastAsia="ru-RU"/>
        </w:rPr>
        <w:drawing>
          <wp:inline distT="0" distB="0" distL="0" distR="0" wp14:anchorId="6209B789" wp14:editId="29D2F902">
            <wp:extent cx="5868785" cy="3075709"/>
            <wp:effectExtent l="0" t="0" r="17780" b="1079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68B5" w:rsidRDefault="00BA68B5" w:rsidP="00BA68B5">
      <w:pPr>
        <w:pStyle w:val="affe"/>
      </w:pPr>
    </w:p>
    <w:p w:rsidR="003E4DC8" w:rsidRPr="00BA68B5" w:rsidRDefault="003E4DC8" w:rsidP="003E4DC8">
      <w:pPr>
        <w:tabs>
          <w:tab w:val="left" w:pos="180"/>
        </w:tabs>
        <w:spacing w:after="0" w:line="360" w:lineRule="auto"/>
        <w:ind w:firstLine="709"/>
        <w:jc w:val="both"/>
        <w:rPr>
          <w:rFonts w:ascii="Times New Roman" w:eastAsia="Calibri" w:hAnsi="Times New Roman" w:cs="Times New Roman"/>
          <w:color w:val="000000"/>
          <w:sz w:val="28"/>
          <w:szCs w:val="28"/>
        </w:rPr>
      </w:pPr>
      <w:r w:rsidRPr="00BA68B5">
        <w:rPr>
          <w:rFonts w:ascii="Times New Roman" w:eastAsia="Calibri" w:hAnsi="Times New Roman" w:cs="Times New Roman"/>
          <w:color w:val="000000"/>
          <w:sz w:val="28"/>
          <w:szCs w:val="28"/>
        </w:rPr>
        <w:t xml:space="preserve">За 6 месяцев 2020 года аварий и случаев производственного травматизма на поднадзорных объектах не зафиксировано, как и за аналогичный период 2019 года. </w:t>
      </w:r>
    </w:p>
    <w:p w:rsidR="003E4DC8" w:rsidRPr="00BA68B5" w:rsidRDefault="003E4DC8" w:rsidP="003E4DC8">
      <w:pPr>
        <w:spacing w:after="0" w:line="360" w:lineRule="auto"/>
        <w:ind w:firstLine="709"/>
        <w:jc w:val="both"/>
        <w:rPr>
          <w:rFonts w:ascii="Times New Roman" w:eastAsia="Calibri" w:hAnsi="Times New Roman" w:cs="Times New Roman"/>
          <w:bCs/>
          <w:color w:val="000000"/>
          <w:sz w:val="28"/>
          <w:szCs w:val="28"/>
        </w:rPr>
      </w:pPr>
      <w:r w:rsidRPr="00BA68B5">
        <w:rPr>
          <w:rFonts w:ascii="Times New Roman" w:eastAsia="Calibri" w:hAnsi="Times New Roman" w:cs="Times New Roman"/>
          <w:bCs/>
          <w:color w:val="000000"/>
          <w:sz w:val="28"/>
          <w:szCs w:val="28"/>
        </w:rPr>
        <w:t xml:space="preserve">Динамика аварийности и производственного травматизма </w:t>
      </w:r>
      <w:r w:rsidRPr="00BA68B5">
        <w:rPr>
          <w:rFonts w:ascii="Times New Roman" w:eastAsia="Calibri" w:hAnsi="Times New Roman" w:cs="Times New Roman"/>
          <w:color w:val="000000"/>
          <w:sz w:val="28"/>
          <w:szCs w:val="28"/>
        </w:rPr>
        <w:t xml:space="preserve">со смертельным исходом </w:t>
      </w:r>
      <w:r w:rsidRPr="00BA68B5">
        <w:rPr>
          <w:rFonts w:ascii="Times New Roman" w:eastAsia="Calibri" w:hAnsi="Times New Roman" w:cs="Times New Roman"/>
          <w:bCs/>
          <w:color w:val="000000"/>
          <w:sz w:val="28"/>
          <w:szCs w:val="28"/>
        </w:rPr>
        <w:t>за 2015 – 2019 годы на опасных производственных объектах</w:t>
      </w:r>
      <w:r w:rsidRPr="00BA68B5">
        <w:rPr>
          <w:rFonts w:ascii="Times New Roman" w:eastAsia="Calibri" w:hAnsi="Times New Roman" w:cs="Times New Roman"/>
          <w:color w:val="000000"/>
        </w:rPr>
        <w:t xml:space="preserve"> </w:t>
      </w:r>
      <w:r w:rsidRPr="00BA68B5">
        <w:rPr>
          <w:rFonts w:ascii="Times New Roman" w:eastAsia="Calibri" w:hAnsi="Times New Roman" w:cs="Times New Roman"/>
          <w:bCs/>
          <w:color w:val="000000"/>
          <w:sz w:val="28"/>
          <w:szCs w:val="28"/>
        </w:rPr>
        <w:t>нефтегазодобывающей промышленности представлена на диаграмме ниже.</w:t>
      </w:r>
    </w:p>
    <w:p w:rsidR="003E4DC8" w:rsidRPr="00BA68B5" w:rsidRDefault="003E4DC8" w:rsidP="003E4DC8">
      <w:pPr>
        <w:spacing w:after="0" w:line="360" w:lineRule="auto"/>
        <w:ind w:firstLine="709"/>
        <w:jc w:val="center"/>
        <w:rPr>
          <w:rFonts w:ascii="Times New Roman" w:eastAsia="Calibri" w:hAnsi="Times New Roman" w:cs="Times New Roman"/>
          <w:bCs/>
          <w:color w:val="000000"/>
          <w:sz w:val="28"/>
          <w:szCs w:val="28"/>
        </w:rPr>
      </w:pPr>
      <w:r w:rsidRPr="00BA68B5">
        <w:rPr>
          <w:rFonts w:ascii="Times New Roman" w:eastAsia="Calibri" w:hAnsi="Times New Roman" w:cs="Times New Roman"/>
          <w:noProof/>
          <w:color w:val="000000"/>
          <w:sz w:val="24"/>
          <w:szCs w:val="24"/>
          <w:lang w:eastAsia="ru-RU"/>
        </w:rPr>
        <w:drawing>
          <wp:inline distT="0" distB="0" distL="0" distR="0" wp14:anchorId="1DA78D55" wp14:editId="3FE5B3EB">
            <wp:extent cx="5636260" cy="260159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4DC8" w:rsidRPr="00BA68B5" w:rsidRDefault="003E4DC8" w:rsidP="003E4DC8">
      <w:pPr>
        <w:spacing w:after="0" w:line="240" w:lineRule="auto"/>
        <w:jc w:val="right"/>
        <w:rPr>
          <w:rFonts w:ascii="Times New Roman" w:eastAsia="Calibri" w:hAnsi="Times New Roman" w:cs="Times New Roman"/>
          <w:color w:val="FF0000"/>
          <w:sz w:val="28"/>
          <w:szCs w:val="28"/>
        </w:rPr>
      </w:pP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Средне-Поволжским управлением Ростехнадзора в течение 6 месяцев 2020 года проведено 36 проверок соблюдения требований промышленной безопасности при эксплуатации опасных производственных объектов, в том числе: внеплановых проверок – 16, в рамках режима постоянного государственного надзора – 20 (за 6 месяцев 2019 года проведено всего 58 проверок, из них: плановых проверок – 9, внеплановых проверок – 17, в рамках режима постоянного государственного надзора – 32). </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color w:val="FF0000"/>
          <w:sz w:val="28"/>
          <w:szCs w:val="28"/>
        </w:rPr>
      </w:pPr>
      <w:r w:rsidRPr="00BA68B5">
        <w:rPr>
          <w:rFonts w:ascii="Times New Roman" w:eastAsia="Calibri" w:hAnsi="Times New Roman" w:cs="Times New Roman"/>
          <w:sz w:val="28"/>
          <w:szCs w:val="28"/>
          <w:lang w:eastAsia="ru-RU"/>
        </w:rPr>
        <w:t>По сравнению с аналогичным периодом 2019 года произошло понижения показателей более чем 20 % в связи с приостановкой проведения проверок на основании Поручения Правительства РФ (приостановлено проведение 5 плановых проверок и 16 внеплановых), а также исключению из ежегодных планов проведения плановых проверок юридических лиц и индивидуальных предпринимателей, и ограничением проведения внеплановых проверок на основании Постановления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 6 месяцев 2020 года, как и в аналогичном периоде 2019 года, к проведению проверок, инициированными органами прокуратуры, инспекторский состав Средне-Поволжского управления Ростехнадзора не привлекался.</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 6 месяцев 2020 года проверки, результаты которых были признаны недействительными по решению суда и результаты которых обжалованы, отсутствуют.</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Количество проверок объектов нефтегазодобычи за 6 месяцев 2020 года, по которым выявлены нарушения, составило 24, из них внеплановых проверок – 4, в рамках режима постоянного государственного надзора – 20.</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 результате проведенных проверок выявлено 370 нарушений требований промышленной безопасности, из них при внеплановых проверках – 79, в рамках режима постоянного государственного надзора – 291. </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Количество административных наказаний, наложенных по итогам проверок, составило 49, из них при внеплановых проверках – 8, в рамках режима постоянного государственного надзора – 41. </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Общая сумма административных штрафов, наложенных на юридических лиц, составила 3636 тыс. рублей. </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За 6 месяцев 2020 года административные наказания в виде приостановлении деятельности, временного запрета деятельности и дисквалификации при проведении проверочных мероприятий не применялись. </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 6 месяцев 2020 года обжалованных административных наказаний, как и за аналогичный период 2019 года, не было.</w:t>
      </w:r>
    </w:p>
    <w:p w:rsidR="003E4DC8" w:rsidRPr="00BA68B5" w:rsidRDefault="003E4DC8" w:rsidP="003E4DC8">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Заявления в органы прокуратуры о согласовании проведения внеплановых проверок не направлялись.</w:t>
      </w:r>
    </w:p>
    <w:p w:rsidR="003E4DC8" w:rsidRPr="00BA68B5" w:rsidRDefault="003E4DC8" w:rsidP="003E4DC8">
      <w:pPr>
        <w:autoSpaceDE w:val="0"/>
        <w:autoSpaceDN w:val="0"/>
        <w:adjustRightInd w:val="0"/>
        <w:spacing w:after="0" w:line="360" w:lineRule="auto"/>
        <w:ind w:firstLine="851"/>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В ходе обобщения и анализа правоприменительной практики в области выявления типичных нарушений, были установлены наиболее часто встречаемые из них:</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vanish/>
          <w:sz w:val="28"/>
          <w:szCs w:val="28"/>
        </w:rPr>
      </w:pPr>
      <w:r w:rsidRPr="00BA68B5">
        <w:rPr>
          <w:rFonts w:ascii="Times New Roman" w:eastAsia="Calibri" w:hAnsi="Times New Roman" w:cs="Times New Roman"/>
          <w:vanish/>
          <w:sz w:val="28"/>
          <w:szCs w:val="28"/>
        </w:rPr>
        <w:t xml:space="preserve">для нагнетания ГЖ и ЛВЖ вместо безсальниковых центробежных насосов с двойным торцевым уплотнением используются насосы </w:t>
      </w:r>
      <w:r w:rsidRPr="00BA68B5">
        <w:rPr>
          <w:rFonts w:ascii="Times New Roman" w:eastAsia="Calibri" w:hAnsi="Times New Roman" w:cs="Times New Roman"/>
          <w:vanish/>
          <w:sz w:val="28"/>
          <w:szCs w:val="28"/>
        </w:rPr>
        <w:br/>
        <w:t>с сальниковым уплотнением;</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vanish/>
          <w:sz w:val="28"/>
          <w:szCs w:val="28"/>
        </w:rPr>
      </w:pPr>
      <w:r w:rsidRPr="00BA68B5">
        <w:rPr>
          <w:rFonts w:ascii="Times New Roman" w:eastAsia="Calibri" w:hAnsi="Times New Roman" w:cs="Times New Roman"/>
          <w:vanish/>
          <w:sz w:val="28"/>
          <w:szCs w:val="28"/>
        </w:rPr>
        <w:t>не оборудованы системами двусторонней громкоговорящей и телефонной связи технологические блоки опасных производственных объектов;</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vanish/>
          <w:sz w:val="28"/>
          <w:szCs w:val="28"/>
        </w:rPr>
      </w:pPr>
      <w:r w:rsidRPr="00BA68B5">
        <w:rPr>
          <w:rFonts w:ascii="Times New Roman" w:eastAsia="Calibri" w:hAnsi="Times New Roman" w:cs="Times New Roman"/>
          <w:vanish/>
          <w:sz w:val="28"/>
          <w:szCs w:val="28"/>
        </w:rPr>
        <w:t>не обеспечена необходимая степень герметичности разъемных соединений в течение межремонтного периода эксплуатации технологической системы и системы водяного и парового обогрева технологической системы;</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vanish/>
          <w:sz w:val="28"/>
          <w:szCs w:val="28"/>
        </w:rPr>
      </w:pPr>
      <w:r w:rsidRPr="00BA68B5">
        <w:rPr>
          <w:rFonts w:ascii="Times New Roman" w:eastAsia="Calibri" w:hAnsi="Times New Roman" w:cs="Times New Roman"/>
          <w:vanish/>
          <w:sz w:val="28"/>
          <w:szCs w:val="28"/>
        </w:rPr>
        <w:t>не обеспечено проведение экспертизы промышленной безопасности технических устройств, либо отсутствует проектная документация;</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отсутствует тепловая изоляция оборудования, работающего под избыточным давлением;</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vanish/>
          <w:sz w:val="28"/>
          <w:szCs w:val="28"/>
        </w:rPr>
      </w:pPr>
      <w:r w:rsidRPr="00BA68B5">
        <w:rPr>
          <w:rFonts w:ascii="Times New Roman" w:eastAsia="Calibri" w:hAnsi="Times New Roman" w:cs="Times New Roman"/>
          <w:vanish/>
          <w:sz w:val="28"/>
          <w:szCs w:val="28"/>
        </w:rPr>
        <w:t>не выполняются условия дальнейшей безопасной эксплуатации зданий и сооружений опасных производственных объектов, указанных в экспертизе промышленной безопасности;</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в сведениях, характеризующих опасный производственный объект, не обеспечивается полнота и достоверность сведений, представляемых организациями при регистрации (перерегистрации) опасных производственных объектов в государственном реестре опасных производственных объектов;</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в паспортах на трубопроводы отсутствует запись о ревизии;</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нарушаются требования безопасности при эксплуатации электрооборудования, установленного во взрывоопасных зонах;</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отсутствуют заглушки на технологических линиях в период технического обслуживания;</w:t>
      </w:r>
    </w:p>
    <w:p w:rsidR="003E4DC8" w:rsidRPr="00BA68B5" w:rsidRDefault="003E4DC8" w:rsidP="003E4DC8">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не приняты меры для защиты от коррозии оборудования применяемого на опасных производственных объектах.</w:t>
      </w:r>
    </w:p>
    <w:p w:rsidR="00EC766C" w:rsidRPr="00BA68B5" w:rsidRDefault="00EC766C" w:rsidP="00EC766C">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2858E9" w:rsidRPr="00BA68B5" w:rsidRDefault="002858E9" w:rsidP="00C90FD0">
      <w:pPr>
        <w:keepNext/>
        <w:keepLines/>
        <w:tabs>
          <w:tab w:val="left" w:pos="709"/>
        </w:tabs>
        <w:spacing w:before="200" w:after="0" w:line="240" w:lineRule="auto"/>
        <w:jc w:val="center"/>
        <w:outlineLvl w:val="2"/>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 xml:space="preserve">Объекты магистрального трубопроводного транспорта </w:t>
      </w:r>
      <w:r w:rsidRPr="00BA68B5">
        <w:rPr>
          <w:rFonts w:ascii="Times New Roman" w:eastAsia="Times New Roman" w:hAnsi="Times New Roman" w:cs="Times New Roman"/>
          <w:b/>
          <w:sz w:val="28"/>
          <w:szCs w:val="28"/>
          <w:lang w:eastAsia="ru-RU"/>
        </w:rPr>
        <w:br/>
        <w:t>и подземного хранения газа</w:t>
      </w:r>
    </w:p>
    <w:p w:rsidR="006B135B" w:rsidRPr="00BA68B5" w:rsidRDefault="006B135B" w:rsidP="007A5FC3">
      <w:pPr>
        <w:pStyle w:val="affe"/>
        <w:rPr>
          <w:rFonts w:ascii="Times New Roman" w:hAnsi="Times New Roman"/>
          <w:sz w:val="28"/>
          <w:szCs w:val="28"/>
          <w:lang w:eastAsia="ru-RU"/>
        </w:rPr>
      </w:pP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Федеральный государственный надзор в области промышленной безопасности осуществляется Средне-Поволжским управлением Ростехнадзора в отношении 427 опасных производственных объектов магистрального трубопроводного транспорта.</w:t>
      </w:r>
    </w:p>
    <w:p w:rsidR="00607365" w:rsidRPr="00BA68B5" w:rsidRDefault="00607365" w:rsidP="00607365">
      <w:pPr>
        <w:pStyle w:val="affe"/>
        <w:spacing w:line="360" w:lineRule="auto"/>
        <w:rPr>
          <w:rFonts w:ascii="Times New Roman" w:hAnsi="Times New Roman"/>
          <w:sz w:val="28"/>
          <w:szCs w:val="28"/>
          <w:lang w:eastAsia="ru-RU"/>
        </w:rPr>
      </w:pPr>
    </w:p>
    <w:p w:rsidR="00607365" w:rsidRPr="00BA68B5" w:rsidRDefault="00607365" w:rsidP="00607365">
      <w:pPr>
        <w:pStyle w:val="affe"/>
        <w:ind w:firstLine="0"/>
        <w:jc w:val="center"/>
        <w:rPr>
          <w:rFonts w:ascii="Times New Roman" w:hAnsi="Times New Roman"/>
          <w:sz w:val="28"/>
          <w:szCs w:val="28"/>
          <w:lang w:eastAsia="ru-RU"/>
        </w:rPr>
      </w:pPr>
      <w:r w:rsidRPr="00BA68B5">
        <w:rPr>
          <w:rFonts w:ascii="Times New Roman" w:hAnsi="Times New Roman"/>
          <w:noProof/>
          <w:sz w:val="28"/>
          <w:szCs w:val="28"/>
          <w:lang w:eastAsia="ru-RU"/>
        </w:rPr>
        <w:drawing>
          <wp:inline distT="0" distB="0" distL="0" distR="0" wp14:anchorId="6A34277E" wp14:editId="6DDC06E7">
            <wp:extent cx="5985164" cy="3158837"/>
            <wp:effectExtent l="0" t="0" r="15875" b="2286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7365" w:rsidRPr="00BA68B5" w:rsidRDefault="00607365" w:rsidP="00607365">
      <w:pPr>
        <w:pStyle w:val="affe"/>
        <w:rPr>
          <w:rFonts w:ascii="Times New Roman" w:hAnsi="Times New Roman"/>
          <w:sz w:val="28"/>
          <w:szCs w:val="28"/>
          <w:lang w:eastAsia="ru-RU"/>
        </w:rPr>
      </w:pP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За 6 месяцев 2020 года на опасных производственных объектах магистрального трубопроводного транспорта аварии и инциденты отсутствовали.</w:t>
      </w:r>
    </w:p>
    <w:p w:rsidR="00D36FD9" w:rsidRPr="00BA68B5" w:rsidRDefault="00607365" w:rsidP="00D36FD9">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За 6 месяцев 2020 года на ОПО магистрального трубопроводного транспорта случаи смертельного травматизма не зарегистрированы (за 2019 год случаи смертельного травматизма отсутствовали).</w:t>
      </w:r>
      <w:r w:rsidR="006D1CD2" w:rsidRPr="00BA68B5">
        <w:rPr>
          <w:rFonts w:ascii="Times New Roman" w:hAnsi="Times New Roman"/>
          <w:sz w:val="28"/>
          <w:szCs w:val="28"/>
          <w:lang w:eastAsia="ru-RU"/>
        </w:rPr>
        <w:t xml:space="preserve"> </w:t>
      </w:r>
    </w:p>
    <w:p w:rsidR="00E97141" w:rsidRPr="00BA68B5" w:rsidRDefault="00607365" w:rsidP="00E97141">
      <w:pPr>
        <w:spacing w:line="360" w:lineRule="auto"/>
        <w:ind w:firstLine="567"/>
        <w:jc w:val="both"/>
        <w:rPr>
          <w:rFonts w:ascii="Times New Roman" w:hAnsi="Times New Roman" w:cs="Times New Roman"/>
          <w:sz w:val="28"/>
          <w:szCs w:val="28"/>
          <w:lang w:eastAsia="ru-RU"/>
        </w:rPr>
      </w:pPr>
      <w:r w:rsidRPr="00BA68B5">
        <w:rPr>
          <w:rFonts w:ascii="Times New Roman" w:hAnsi="Times New Roman" w:cs="Times New Roman"/>
          <w:sz w:val="28"/>
          <w:szCs w:val="28"/>
          <w:lang w:eastAsia="ru-RU"/>
        </w:rPr>
        <w:t>Динамика аварийности и производственного травматизма за 2014-2020 годы на опасных производственных объектах:</w:t>
      </w:r>
    </w:p>
    <w:p w:rsidR="00607365" w:rsidRPr="00BA68B5" w:rsidRDefault="00607365" w:rsidP="00E97141">
      <w:pPr>
        <w:rPr>
          <w:lang w:eastAsia="ru-RU"/>
        </w:rPr>
      </w:pPr>
      <w:r w:rsidRPr="00BA68B5">
        <w:rPr>
          <w:b/>
          <w:noProof/>
          <w:lang w:eastAsia="ru-RU"/>
        </w:rPr>
        <w:drawing>
          <wp:inline distT="0" distB="0" distL="0" distR="0" wp14:anchorId="2D01CEF8" wp14:editId="396DCE18">
            <wp:extent cx="6084916" cy="2851265"/>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За 6 месяцев 2020 года проведено 68 проверок объектов магистрального трубопроводного транспорта (в 2019 году – 136), выявлено и предписано к устранению 272 нарушения требований промышленной безопасности (в 2019 году – 819).</w:t>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Наложено 52 административных наказания (в 2019 году – 74).</w:t>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Нарушения, встречающиеся в ходе проверок:</w:t>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 xml:space="preserve">несвоевременное проведение технического диагностирования трубопроводов, испытаний и освидетельствования сооружений и технических устройств, применяемых на опасном производственном объекте; </w:t>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несоблюдение требований «Правил охраны магистральных трубопроводов»;</w:t>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несоблюдение требований по ведению технической документации.</w:t>
      </w:r>
    </w:p>
    <w:p w:rsidR="00607365" w:rsidRPr="00BA68B5" w:rsidRDefault="00607365" w:rsidP="00607365">
      <w:pPr>
        <w:pStyle w:val="affe"/>
        <w:spacing w:line="360" w:lineRule="auto"/>
        <w:rPr>
          <w:rFonts w:ascii="Times New Roman" w:hAnsi="Times New Roman"/>
          <w:sz w:val="28"/>
          <w:szCs w:val="28"/>
          <w:lang w:eastAsia="ru-RU"/>
        </w:rPr>
      </w:pPr>
      <w:r w:rsidRPr="00BA68B5">
        <w:rPr>
          <w:rFonts w:ascii="Times New Roman" w:hAnsi="Times New Roman"/>
          <w:sz w:val="28"/>
          <w:szCs w:val="28"/>
          <w:lang w:eastAsia="ru-RU"/>
        </w:rPr>
        <w:t>В настоящее время остаются актуальными вопросы обеспечения исполнения требований по охранным зонам магистральных трубопроводов, замена и реконструкция линейной части магистральных трубопроводов.</w:t>
      </w:r>
    </w:p>
    <w:p w:rsidR="00607365" w:rsidRPr="00BA68B5" w:rsidRDefault="00607365" w:rsidP="007A5FC3">
      <w:pPr>
        <w:pStyle w:val="affe"/>
        <w:rPr>
          <w:rFonts w:ascii="Times New Roman" w:hAnsi="Times New Roman"/>
          <w:sz w:val="28"/>
          <w:szCs w:val="28"/>
          <w:lang w:eastAsia="ru-RU"/>
        </w:rPr>
      </w:pPr>
    </w:p>
    <w:p w:rsidR="002858E9" w:rsidRPr="00BA68B5" w:rsidRDefault="002858E9" w:rsidP="004D4302">
      <w:pPr>
        <w:tabs>
          <w:tab w:val="left" w:pos="709"/>
        </w:tabs>
        <w:spacing w:after="0" w:line="240" w:lineRule="auto"/>
        <w:ind w:firstLine="567"/>
        <w:jc w:val="center"/>
        <w:rPr>
          <w:rFonts w:ascii="Times New Roman" w:eastAsia="Calibri" w:hAnsi="Times New Roman" w:cs="Times New Roman"/>
          <w:b/>
          <w:sz w:val="28"/>
          <w:szCs w:val="28"/>
          <w:lang w:eastAsia="ru-RU"/>
        </w:rPr>
      </w:pPr>
      <w:r w:rsidRPr="00BA68B5">
        <w:rPr>
          <w:rFonts w:ascii="Times New Roman" w:eastAsia="Calibri" w:hAnsi="Times New Roman" w:cs="Times New Roman"/>
          <w:b/>
          <w:sz w:val="28"/>
          <w:szCs w:val="28"/>
          <w:lang w:eastAsia="ru-RU"/>
        </w:rPr>
        <w:t>Маркшейдерский контроль и надзор за безопасным недропользованием</w:t>
      </w:r>
    </w:p>
    <w:p w:rsidR="00C75C70" w:rsidRPr="00BA68B5" w:rsidRDefault="00C75C70" w:rsidP="004D4302">
      <w:pPr>
        <w:tabs>
          <w:tab w:val="left" w:pos="709"/>
        </w:tabs>
        <w:spacing w:after="0" w:line="240" w:lineRule="auto"/>
        <w:ind w:firstLine="567"/>
        <w:jc w:val="center"/>
        <w:rPr>
          <w:rFonts w:ascii="Times New Roman" w:eastAsia="Calibri" w:hAnsi="Times New Roman" w:cs="Times New Roman"/>
          <w:b/>
          <w:sz w:val="28"/>
          <w:szCs w:val="28"/>
          <w:lang w:eastAsia="ru-RU"/>
        </w:rPr>
      </w:pPr>
    </w:p>
    <w:bookmarkEnd w:id="5"/>
    <w:p w:rsidR="00607365" w:rsidRPr="00BA68B5" w:rsidRDefault="00607365" w:rsidP="00607365">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К поднадзорным объектам в области </w:t>
      </w:r>
      <w:r w:rsidRPr="00BA68B5">
        <w:rPr>
          <w:rFonts w:ascii="Times New Roman" w:eastAsia="Calibri" w:hAnsi="Times New Roman" w:cs="Times New Roman"/>
          <w:sz w:val="28"/>
          <w:szCs w:val="28"/>
          <w:lang w:eastAsia="ru-RU"/>
        </w:rPr>
        <w:t xml:space="preserve">маркшейдерского контроля и надзора </w:t>
      </w:r>
      <w:r w:rsidRPr="00BA68B5">
        <w:rPr>
          <w:rFonts w:ascii="Times New Roman" w:eastAsia="Times New Roman" w:hAnsi="Times New Roman" w:cs="Times New Roman"/>
          <w:sz w:val="28"/>
          <w:szCs w:val="28"/>
          <w:lang w:eastAsia="ru-RU"/>
        </w:rPr>
        <w:t>относятся объекты пользования недрами при наличии соответствующих лицензий и документов, удостоверяющих уточненные границы горного отвода, а также предприятия, имеющие лицензии на производство маркшейдерских работ.</w:t>
      </w:r>
    </w:p>
    <w:p w:rsidR="00607365" w:rsidRPr="00BA68B5" w:rsidRDefault="00607365" w:rsidP="00607365">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Под государственным контролем Средне-Поволжского управления Ростехнадзора находится 296 предприятий, в том числе на территории Самарской области 98, на территории Ульяновской области 39, на территории Пензенской области 55, на территории Саратовской области 104</w:t>
      </w:r>
      <w:r w:rsidRPr="00BA68B5">
        <w:rPr>
          <w:rFonts w:ascii="Times New Roman" w:eastAsia="Calibri" w:hAnsi="Times New Roman" w:cs="Times New Roman"/>
          <w:bCs/>
          <w:sz w:val="28"/>
          <w:szCs w:val="28"/>
        </w:rPr>
        <w:t>.</w:t>
      </w:r>
    </w:p>
    <w:p w:rsidR="00607365" w:rsidRPr="00BA68B5" w:rsidRDefault="00607365" w:rsidP="00607365">
      <w:pPr>
        <w:tabs>
          <w:tab w:val="left" w:pos="709"/>
        </w:tabs>
        <w:spacing w:after="0" w:line="360" w:lineRule="auto"/>
        <w:ind w:firstLine="720"/>
        <w:jc w:val="both"/>
        <w:rPr>
          <w:rFonts w:ascii="Times New Roman" w:eastAsia="Calibri"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на объектах маркшейдерского контроля не зарегистрировано аварий и несчастных случаев, связанных с выполнением маркшейдерского обеспечения, </w:t>
      </w:r>
      <w:r w:rsidRPr="00BA68B5">
        <w:rPr>
          <w:rFonts w:ascii="Times New Roman" w:eastAsia="Calibri" w:hAnsi="Times New Roman" w:cs="Times New Roman"/>
          <w:sz w:val="28"/>
          <w:szCs w:val="28"/>
          <w:lang w:eastAsia="ru-RU"/>
        </w:rPr>
        <w:t xml:space="preserve">как и за аналогичный период 2019 года. </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Средне-Поволжским управлением Ростехнадзора в течение 6 месяцев 2020 года проведено 6 проверок, из них: 1 плановая, 5 внеплановых проверок соблюдения лицензиатом/соискателем лицензии лицензионных требований (в аналогичном периоде 2019 года проведено 13 проверок, из них: 5 плановых, 5 проверок ранее выданных предписаний, 3 внеплановых лицензионных проверк</w:t>
      </w:r>
      <w:r w:rsidR="003E4DC8" w:rsidRPr="00BA68B5">
        <w:rPr>
          <w:rFonts w:ascii="Times New Roman" w:eastAsia="Calibri" w:hAnsi="Times New Roman" w:cs="Times New Roman"/>
          <w:sz w:val="28"/>
          <w:szCs w:val="28"/>
        </w:rPr>
        <w:t>и</w:t>
      </w:r>
      <w:r w:rsidRPr="00BA68B5">
        <w:rPr>
          <w:rFonts w:ascii="Times New Roman" w:eastAsia="Calibri" w:hAnsi="Times New Roman" w:cs="Times New Roman"/>
          <w:sz w:val="28"/>
          <w:szCs w:val="28"/>
        </w:rPr>
        <w:t xml:space="preserve">). </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За 6 месяцев 2020 года в ходе контрольно-надзорных мероприятий, а также в рамках контроля выполнения проектных решений и обязательных требований в области маркшейдерского обеспечения при рассмотрении планов развития горных работ выявлено 12 нарушений требований правил и норм, в том числе 10 нарушений при рассмотрении материалов годовых планов развития горных работ. </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За 6 месяцев 2020 года наложено 8 административных наказаний в виде штрафов на должностных лиц, а также оформлено 8 предостережений в качестве меры профилактического воздействия.  </w:t>
      </w:r>
    </w:p>
    <w:p w:rsidR="00607365" w:rsidRPr="00BA68B5" w:rsidRDefault="00607365" w:rsidP="00607365">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Снижение показателей надзорной деятельности за 6 месяцев 2020 года обусловлено особенностями осуществления в 2020 году государственного контроля (надзора) в части проведения внеплановых проверок и внесенными изменениями в ежегодный план проведения плановых проверок юридических лиц и индивидуальных предпринимателей, принятыми </w:t>
      </w:r>
      <w:r w:rsidR="00730F09" w:rsidRPr="00BA68B5">
        <w:rPr>
          <w:rFonts w:ascii="Times New Roman" w:eastAsia="Calibri" w:hAnsi="Times New Roman" w:cs="Times New Roman"/>
          <w:sz w:val="28"/>
          <w:szCs w:val="28"/>
        </w:rPr>
        <w:t>Средне-Поволжским у</w:t>
      </w:r>
      <w:r w:rsidRPr="00BA68B5">
        <w:rPr>
          <w:rFonts w:ascii="Times New Roman" w:eastAsia="Calibri" w:hAnsi="Times New Roman" w:cs="Times New Roman"/>
          <w:sz w:val="28"/>
          <w:szCs w:val="28"/>
        </w:rPr>
        <w:t xml:space="preserve">правлением </w:t>
      </w:r>
      <w:r w:rsidR="00730F09" w:rsidRPr="00BA68B5">
        <w:rPr>
          <w:rFonts w:ascii="Times New Roman" w:eastAsia="Calibri" w:hAnsi="Times New Roman" w:cs="Times New Roman"/>
          <w:sz w:val="28"/>
          <w:szCs w:val="28"/>
        </w:rPr>
        <w:t xml:space="preserve">Ростехнадзора </w:t>
      </w:r>
      <w:r w:rsidRPr="00BA68B5">
        <w:rPr>
          <w:rFonts w:ascii="Times New Roman" w:eastAsia="Calibri" w:hAnsi="Times New Roman" w:cs="Times New Roman"/>
          <w:sz w:val="28"/>
          <w:szCs w:val="28"/>
        </w:rPr>
        <w:t>в ходе реализации соответствующих поручений и постановлений Правительства РФ, связанных с введением ограничительных мер, направленных на недопущение распространения новой коронавирусной инфекции (COVID-19).</w:t>
      </w:r>
    </w:p>
    <w:p w:rsidR="00607365" w:rsidRPr="00BA68B5" w:rsidRDefault="00607365" w:rsidP="00607365">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Следует обратить внимание на большой объем документации, рассмотренной за отчетный период, в том числе: Планов и схем развития горных работ рассмотрено в количестве 138-ми комплектов; Проектов горных отводов – в количестве 61-го проекта, комплекта материалов, обосновывающих объемы горных работ за 2019 год (в составе Ф5-ГР); маркшейдерской  проектной документации (схем) – в количестве 35 комплектов, а также 10-ти проектов на разработку месторождений полезных ископаемых.</w:t>
      </w:r>
    </w:p>
    <w:p w:rsidR="00607365" w:rsidRPr="00BA68B5" w:rsidRDefault="00607365" w:rsidP="00607365">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 целом уровень маркшейдерского обеспечения работ остается на достаточно высоком уровне. </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Проверки с привлечением представителей Средне-Поволжского управления Ростехнадзора органами прокуратуры </w:t>
      </w:r>
      <w:r w:rsidR="003E4DC8" w:rsidRPr="00BA68B5">
        <w:rPr>
          <w:rFonts w:ascii="Times New Roman" w:eastAsia="Calibri" w:hAnsi="Times New Roman" w:cs="Times New Roman"/>
          <w:sz w:val="28"/>
          <w:szCs w:val="28"/>
        </w:rPr>
        <w:t>за 6 месяцев</w:t>
      </w:r>
      <w:r w:rsidRPr="00BA68B5">
        <w:rPr>
          <w:rFonts w:ascii="Times New Roman" w:eastAsia="Calibri" w:hAnsi="Times New Roman" w:cs="Times New Roman"/>
          <w:sz w:val="28"/>
          <w:szCs w:val="28"/>
        </w:rPr>
        <w:t xml:space="preserve"> 20</w:t>
      </w:r>
      <w:r w:rsidR="003E4DC8" w:rsidRPr="00BA68B5">
        <w:rPr>
          <w:rFonts w:ascii="Times New Roman" w:eastAsia="Calibri" w:hAnsi="Times New Roman" w:cs="Times New Roman"/>
          <w:sz w:val="28"/>
          <w:szCs w:val="28"/>
        </w:rPr>
        <w:t>20</w:t>
      </w:r>
      <w:r w:rsidRPr="00BA68B5">
        <w:rPr>
          <w:rFonts w:ascii="Times New Roman" w:eastAsia="Calibri" w:hAnsi="Times New Roman" w:cs="Times New Roman"/>
          <w:sz w:val="28"/>
          <w:szCs w:val="28"/>
        </w:rPr>
        <w:t xml:space="preserve"> год</w:t>
      </w:r>
      <w:r w:rsidR="003E4DC8" w:rsidRPr="00BA68B5">
        <w:rPr>
          <w:rFonts w:ascii="Times New Roman" w:eastAsia="Calibri" w:hAnsi="Times New Roman" w:cs="Times New Roman"/>
          <w:sz w:val="28"/>
          <w:szCs w:val="28"/>
        </w:rPr>
        <w:t>а</w:t>
      </w:r>
      <w:r w:rsidRPr="00BA68B5">
        <w:rPr>
          <w:rFonts w:ascii="Times New Roman" w:eastAsia="Calibri" w:hAnsi="Times New Roman" w:cs="Times New Roman"/>
          <w:sz w:val="28"/>
          <w:szCs w:val="28"/>
        </w:rPr>
        <w:t xml:space="preserve"> не проводились (</w:t>
      </w:r>
      <w:r w:rsidRPr="00BA68B5">
        <w:rPr>
          <w:rFonts w:ascii="Times New Roman" w:eastAsia="Calibri" w:hAnsi="Times New Roman" w:cs="Times New Roman"/>
          <w:sz w:val="28"/>
          <w:szCs w:val="28"/>
          <w:lang w:eastAsia="ru-RU"/>
        </w:rPr>
        <w:t xml:space="preserve">как и </w:t>
      </w:r>
      <w:r w:rsidR="003E4DC8" w:rsidRPr="00BA68B5">
        <w:rPr>
          <w:rFonts w:ascii="Times New Roman" w:eastAsia="Calibri" w:hAnsi="Times New Roman" w:cs="Times New Roman"/>
          <w:sz w:val="28"/>
          <w:szCs w:val="28"/>
          <w:lang w:eastAsia="ru-RU"/>
        </w:rPr>
        <w:t>за 6 месяцев</w:t>
      </w:r>
      <w:r w:rsidRPr="00BA68B5">
        <w:rPr>
          <w:rFonts w:ascii="Times New Roman" w:eastAsia="Calibri" w:hAnsi="Times New Roman" w:cs="Times New Roman"/>
          <w:sz w:val="28"/>
          <w:szCs w:val="28"/>
          <w:lang w:eastAsia="ru-RU"/>
        </w:rPr>
        <w:t xml:space="preserve"> 20</w:t>
      </w:r>
      <w:r w:rsidR="003E4DC8" w:rsidRPr="00BA68B5">
        <w:rPr>
          <w:rFonts w:ascii="Times New Roman" w:eastAsia="Calibri" w:hAnsi="Times New Roman" w:cs="Times New Roman"/>
          <w:sz w:val="28"/>
          <w:szCs w:val="28"/>
          <w:lang w:eastAsia="ru-RU"/>
        </w:rPr>
        <w:t>19</w:t>
      </w:r>
      <w:r w:rsidRPr="00BA68B5">
        <w:rPr>
          <w:rFonts w:ascii="Times New Roman" w:eastAsia="Calibri" w:hAnsi="Times New Roman" w:cs="Times New Roman"/>
          <w:sz w:val="28"/>
          <w:szCs w:val="28"/>
          <w:lang w:eastAsia="ru-RU"/>
        </w:rPr>
        <w:t xml:space="preserve"> год</w:t>
      </w:r>
      <w:r w:rsidR="003E4DC8" w:rsidRPr="00BA68B5">
        <w:rPr>
          <w:rFonts w:ascii="Times New Roman" w:eastAsia="Calibri" w:hAnsi="Times New Roman" w:cs="Times New Roman"/>
          <w:sz w:val="28"/>
          <w:szCs w:val="28"/>
          <w:lang w:eastAsia="ru-RU"/>
        </w:rPr>
        <w:t>а</w:t>
      </w:r>
      <w:r w:rsidRPr="00BA68B5">
        <w:rPr>
          <w:rFonts w:ascii="Times New Roman" w:eastAsia="Calibri" w:hAnsi="Times New Roman" w:cs="Times New Roman"/>
          <w:sz w:val="28"/>
          <w:szCs w:val="28"/>
        </w:rPr>
        <w:t>).</w:t>
      </w:r>
    </w:p>
    <w:p w:rsidR="00607365" w:rsidRPr="00BA68B5" w:rsidRDefault="00607365" w:rsidP="00607365">
      <w:pPr>
        <w:autoSpaceDE w:val="0"/>
        <w:autoSpaceDN w:val="0"/>
        <w:adjustRightInd w:val="0"/>
        <w:spacing w:after="0" w:line="360" w:lineRule="auto"/>
        <w:ind w:firstLine="851"/>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 ходе обобщения и анализа правоприменительной практики за </w:t>
      </w:r>
      <w:r w:rsidR="003E4DC8" w:rsidRPr="00BA68B5">
        <w:rPr>
          <w:rFonts w:ascii="Times New Roman" w:eastAsia="Calibri" w:hAnsi="Times New Roman" w:cs="Times New Roman"/>
          <w:sz w:val="28"/>
          <w:szCs w:val="28"/>
        </w:rPr>
        <w:t xml:space="preserve">6 месяцев </w:t>
      </w:r>
      <w:r w:rsidRPr="00BA68B5">
        <w:rPr>
          <w:rFonts w:ascii="Times New Roman" w:eastAsia="Calibri" w:hAnsi="Times New Roman" w:cs="Times New Roman"/>
          <w:sz w:val="28"/>
          <w:szCs w:val="28"/>
        </w:rPr>
        <w:t>20</w:t>
      </w:r>
      <w:r w:rsidR="003E4DC8" w:rsidRPr="00BA68B5">
        <w:rPr>
          <w:rFonts w:ascii="Times New Roman" w:eastAsia="Calibri" w:hAnsi="Times New Roman" w:cs="Times New Roman"/>
          <w:sz w:val="28"/>
          <w:szCs w:val="28"/>
        </w:rPr>
        <w:t>20</w:t>
      </w:r>
      <w:r w:rsidRPr="00BA68B5">
        <w:rPr>
          <w:rFonts w:ascii="Times New Roman" w:eastAsia="Calibri" w:hAnsi="Times New Roman" w:cs="Times New Roman"/>
          <w:sz w:val="28"/>
          <w:szCs w:val="28"/>
        </w:rPr>
        <w:t xml:space="preserve"> год</w:t>
      </w:r>
      <w:r w:rsidR="003E4DC8" w:rsidRPr="00BA68B5">
        <w:rPr>
          <w:rFonts w:ascii="Times New Roman" w:eastAsia="Calibri" w:hAnsi="Times New Roman" w:cs="Times New Roman"/>
          <w:sz w:val="28"/>
          <w:szCs w:val="28"/>
        </w:rPr>
        <w:t>а</w:t>
      </w:r>
      <w:r w:rsidRPr="00BA68B5">
        <w:rPr>
          <w:rFonts w:ascii="Times New Roman" w:eastAsia="Calibri" w:hAnsi="Times New Roman" w:cs="Times New Roman"/>
          <w:sz w:val="28"/>
          <w:szCs w:val="28"/>
        </w:rPr>
        <w:t xml:space="preserve"> типичным нарушением является нарушение параметров проектной документации и (или) планов развития горных работ в части направлений производства работ при недостаточном маркшейдерском обеспечении, либо его отсутствии.</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В целом большинство выявленных нарушений в отрасли возникают по причине:</w:t>
      </w:r>
    </w:p>
    <w:p w:rsidR="00607365" w:rsidRPr="00BA68B5" w:rsidRDefault="00607365" w:rsidP="00607365">
      <w:pPr>
        <w:autoSpaceDE w:val="0"/>
        <w:autoSpaceDN w:val="0"/>
        <w:adjustRightInd w:val="0"/>
        <w:spacing w:after="0" w:line="360" w:lineRule="auto"/>
        <w:ind w:firstLine="708"/>
        <w:rPr>
          <w:rFonts w:ascii="Times New Roman" w:eastAsia="Calibri" w:hAnsi="Times New Roman" w:cs="Times New Roman"/>
          <w:sz w:val="28"/>
          <w:szCs w:val="28"/>
        </w:rPr>
      </w:pPr>
      <w:r w:rsidRPr="00BA68B5">
        <w:rPr>
          <w:rFonts w:ascii="Times New Roman" w:eastAsia="Calibri" w:hAnsi="Times New Roman" w:cs="Times New Roman"/>
          <w:sz w:val="28"/>
          <w:szCs w:val="28"/>
        </w:rPr>
        <w:t>слабого производственного контроля со стороны самих предприятий;</w:t>
      </w:r>
    </w:p>
    <w:p w:rsidR="00607365" w:rsidRPr="00BA68B5" w:rsidRDefault="00607365" w:rsidP="00607365">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слабой подготовки в учебных учреждениях поступающих на работу специалистов;</w:t>
      </w:r>
    </w:p>
    <w:p w:rsidR="00607365" w:rsidRPr="00BA68B5" w:rsidRDefault="00607365" w:rsidP="00607365">
      <w:pPr>
        <w:autoSpaceDE w:val="0"/>
        <w:autoSpaceDN w:val="0"/>
        <w:adjustRightInd w:val="0"/>
        <w:spacing w:after="0" w:line="360" w:lineRule="auto"/>
        <w:ind w:firstLine="708"/>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отсутствие у Ростехнадзора инструментов и полномочий по оперативному контролю за маркшейдерским обеспечением, особенно если объект пользования недрами не является опасным производственным объектом.</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Одним из важнейших факторов, осложняющих работу по выявлению нарушений, является несовершенная система Федеральных норм и правил, не позволяющая в полной мере осуществлять надзор за предприятиями:</w:t>
      </w:r>
    </w:p>
    <w:p w:rsidR="00607365" w:rsidRPr="00BA68B5" w:rsidRDefault="00607365" w:rsidP="0060736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1. Основным нормативным документом, устанавливающим требования по производству маркшейдерских работ, является «</w:t>
      </w:r>
      <w:hyperlink r:id="rId13" w:history="1">
        <w:r w:rsidRPr="00BA68B5">
          <w:rPr>
            <w:rFonts w:ascii="Times New Roman" w:eastAsia="Times New Roman" w:hAnsi="Times New Roman" w:cs="Times New Roman"/>
            <w:sz w:val="28"/>
            <w:szCs w:val="28"/>
            <w:lang w:eastAsia="ru-RU"/>
          </w:rPr>
          <w:t>Инструкция</w:t>
        </w:r>
      </w:hyperlink>
      <w:r w:rsidRPr="00BA68B5">
        <w:rPr>
          <w:rFonts w:ascii="Times New Roman" w:eastAsia="Times New Roman" w:hAnsi="Times New Roman" w:cs="Times New Roman"/>
          <w:sz w:val="28"/>
          <w:szCs w:val="28"/>
          <w:lang w:eastAsia="ru-RU"/>
        </w:rPr>
        <w:t xml:space="preserve"> по производству маркшейдерских работ» РД 07-603-03, утвержденная Постановлением Госгортехнадзора РФ от 06.06.2003 № 73. По информации системы «Консультант Плюс» данный документ опубликован не был, по заключению Минюста РФ в государственной регистрации не нуждается. В основу данного документа заложены технические требования, определенные </w:t>
      </w:r>
      <w:hyperlink r:id="rId14" w:history="1">
        <w:r w:rsidRPr="00BA68B5">
          <w:rPr>
            <w:rFonts w:ascii="Times New Roman" w:eastAsia="Times New Roman" w:hAnsi="Times New Roman" w:cs="Times New Roman"/>
            <w:sz w:val="28"/>
            <w:szCs w:val="28"/>
            <w:lang w:eastAsia="ru-RU"/>
          </w:rPr>
          <w:t>Инструкцией</w:t>
        </w:r>
      </w:hyperlink>
      <w:r w:rsidRPr="00BA68B5">
        <w:rPr>
          <w:rFonts w:ascii="Times New Roman" w:eastAsia="Times New Roman" w:hAnsi="Times New Roman" w:cs="Times New Roman"/>
          <w:sz w:val="28"/>
          <w:szCs w:val="28"/>
          <w:lang w:eastAsia="ru-RU"/>
        </w:rPr>
        <w:t xml:space="preserve"> по производству маркшейдерских работ, утвержденной Госгортехнадзором СССР 20.02.1985. </w:t>
      </w:r>
      <w:hyperlink r:id="rId15" w:history="1">
        <w:r w:rsidRPr="00BA68B5">
          <w:rPr>
            <w:rFonts w:ascii="Times New Roman" w:eastAsia="Times New Roman" w:hAnsi="Times New Roman" w:cs="Times New Roman"/>
            <w:sz w:val="28"/>
            <w:szCs w:val="28"/>
            <w:lang w:eastAsia="ru-RU"/>
          </w:rPr>
          <w:t>Инструкция</w:t>
        </w:r>
      </w:hyperlink>
      <w:r w:rsidRPr="00BA68B5">
        <w:rPr>
          <w:rFonts w:ascii="Times New Roman" w:eastAsia="Times New Roman" w:hAnsi="Times New Roman" w:cs="Times New Roman"/>
          <w:sz w:val="28"/>
          <w:szCs w:val="28"/>
          <w:lang w:eastAsia="ru-RU"/>
        </w:rPr>
        <w:t xml:space="preserve">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Указанная 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 При этом судебная и правоприменительная практика свидетельствует о том, что обязательность выполнения требований нормативных документов, не прошедших регистрацию в Минюсте Российской Федерации, может быть оспорена.</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2. 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 а также к и процедуре ее согласования, с учетом п. 5е) «Положения о лицензировании производства маркшейдерских работ». </w:t>
      </w:r>
    </w:p>
    <w:p w:rsidR="00607365" w:rsidRPr="00BA68B5" w:rsidRDefault="00607365" w:rsidP="00607365">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3. Отсутствуют нормативно-правовые документы, определяющие требования к маркшейдерским разделам проектов разработки полезных ископаемых, рассматриваемых Ростехнадзором в составе комиссий, созданных в соответствии с п.п. 6, 7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года № 118. </w:t>
      </w:r>
    </w:p>
    <w:p w:rsidR="00607365" w:rsidRPr="00BA68B5" w:rsidRDefault="00607365" w:rsidP="00607365">
      <w:pPr>
        <w:autoSpaceDE w:val="0"/>
        <w:autoSpaceDN w:val="0"/>
        <w:adjustRightInd w:val="0"/>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4. Отсутствуют нормативно-правовые документы, определяющие технические требования к минимальному комплекту оборудования (инструментов, программного обеспечения), достаточному для выполнения лицензионных требований при выполнении маркшейдерских работ.</w:t>
      </w:r>
      <w:r w:rsidRPr="00BA68B5">
        <w:rPr>
          <w:rFonts w:ascii="Calibri" w:eastAsia="Calibri" w:hAnsi="Calibri" w:cs="Times New Roman"/>
        </w:rPr>
        <w:t xml:space="preserve"> </w:t>
      </w:r>
      <w:r w:rsidRPr="00BA68B5">
        <w:rPr>
          <w:rFonts w:ascii="Times New Roman" w:eastAsia="Calibri" w:hAnsi="Times New Roman" w:cs="Times New Roman"/>
          <w:sz w:val="28"/>
          <w:szCs w:val="28"/>
        </w:rPr>
        <w:t>Кроме того,</w:t>
      </w:r>
      <w:r w:rsidRPr="00BA68B5">
        <w:rPr>
          <w:rFonts w:ascii="Calibri" w:eastAsia="Calibri" w:hAnsi="Calibri" w:cs="Times New Roman"/>
        </w:rPr>
        <w:t xml:space="preserve"> </w:t>
      </w:r>
      <w:r w:rsidRPr="00BA68B5">
        <w:rPr>
          <w:rFonts w:ascii="Times New Roman" w:eastAsia="Calibri" w:hAnsi="Times New Roman" w:cs="Times New Roman"/>
          <w:sz w:val="28"/>
          <w:szCs w:val="28"/>
        </w:rPr>
        <w:t>необходимо уточнение требований п.4 «Положения о лицензировании производства маркшейдерских работ» в части четкого определения понятий «наличие работника в штате юридического лица» и  аттестации работника юридического лица в области промышленной безопасности (маркшейдерского обеспечения безопасного ведения горных работ) с учетом разбивки направлений аттестации на области</w:t>
      </w:r>
    </w:p>
    <w:p w:rsidR="00607365" w:rsidRPr="00BA68B5" w:rsidRDefault="00607365" w:rsidP="00607365">
      <w:pPr>
        <w:tabs>
          <w:tab w:val="left" w:pos="709"/>
        </w:tabs>
        <w:spacing w:after="0" w:line="360" w:lineRule="auto"/>
        <w:ind w:firstLine="567"/>
        <w:jc w:val="both"/>
        <w:rPr>
          <w:rFonts w:ascii="Times New Roman" w:eastAsia="Calibri" w:hAnsi="Times New Roman" w:cs="Times New Roman"/>
          <w:sz w:val="28"/>
          <w:szCs w:val="28"/>
          <w:lang w:eastAsia="ru-RU"/>
        </w:rPr>
      </w:pPr>
      <w:r w:rsidRPr="00BA68B5">
        <w:rPr>
          <w:rFonts w:ascii="Times New Roman" w:eastAsia="Calibri" w:hAnsi="Times New Roman" w:cs="Times New Roman"/>
          <w:sz w:val="28"/>
          <w:szCs w:val="28"/>
        </w:rPr>
        <w:t>Для решения большинства приведенных проблем следует сосредоточить усилия на проработке и принятии актуальных Федеральных норм и правил, регламентирующих требования по обеспечению безопасного пользования недрами и маркшейдерскому обеспечению горных работ. За основу можно взять действующие регламенты, правила и иную документацию, но требования которых, в настоящее время, с точки зрения правоприменимости, невозможны к использованию при проведении контрольных и надзорных мероприятий, проводимых Ростехнадзором.</w:t>
      </w:r>
    </w:p>
    <w:p w:rsidR="00330760" w:rsidRPr="00BA68B5" w:rsidRDefault="00330760" w:rsidP="004D4302">
      <w:pPr>
        <w:keepNext/>
        <w:keepLines/>
        <w:tabs>
          <w:tab w:val="left" w:pos="709"/>
        </w:tabs>
        <w:spacing w:before="200" w:after="0" w:line="240" w:lineRule="auto"/>
        <w:jc w:val="center"/>
        <w:outlineLvl w:val="2"/>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Объекты нефтехимической и нефтегазоперерабатывающей промышленности и объекты нефтепродуктообеспечения</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p>
    <w:p w:rsidR="00F55A57" w:rsidRPr="00BA68B5" w:rsidRDefault="00F55A57" w:rsidP="00F55A57">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Calibri" w:hAnsi="Times New Roman" w:cs="Times New Roman"/>
          <w:sz w:val="28"/>
          <w:szCs w:val="28"/>
        </w:rPr>
        <w:t>Федеральный государственный надзор в области промышленной безопасности осуществляется в отношении 249 опасных производственных объектов нефтехимических, нефтегазоперерабатывающих производств и объектов нефтепродуктообеспечения (далее – ОПО) следующих классов опасности: I класс опасности - 38 ОПО; II класс опасности - 40 ОПО; III класс опасности - 166 ОПО; IV класс опасности - 5 ОПО</w:t>
      </w:r>
      <w:r w:rsidRPr="00BA68B5">
        <w:rPr>
          <w:rFonts w:ascii="Times New Roman" w:eastAsia="Times New Roman" w:hAnsi="Times New Roman" w:cs="Times New Roman"/>
          <w:sz w:val="28"/>
          <w:szCs w:val="28"/>
          <w:lang w:eastAsia="ru-RU"/>
        </w:rPr>
        <w:t>.</w:t>
      </w:r>
    </w:p>
    <w:p w:rsidR="00B61741" w:rsidRPr="00BA68B5" w:rsidRDefault="00B61741" w:rsidP="00B61741">
      <w:pPr>
        <w:spacing w:after="0" w:line="360" w:lineRule="auto"/>
        <w:jc w:val="both"/>
        <w:rPr>
          <w:rFonts w:ascii="Times New Roman" w:eastAsia="Calibri" w:hAnsi="Times New Roman" w:cs="Times New Roman"/>
          <w:sz w:val="28"/>
          <w:szCs w:val="28"/>
        </w:rPr>
      </w:pPr>
    </w:p>
    <w:p w:rsidR="00F55A57" w:rsidRPr="00BA68B5" w:rsidRDefault="00F55A57" w:rsidP="00B61741">
      <w:pPr>
        <w:spacing w:after="0" w:line="360" w:lineRule="auto"/>
        <w:ind w:firstLine="284"/>
        <w:jc w:val="both"/>
        <w:rPr>
          <w:rFonts w:ascii="Times New Roman" w:eastAsia="Times New Roman" w:hAnsi="Times New Roman" w:cs="Times New Roman"/>
          <w:color w:val="FF0000"/>
          <w:sz w:val="28"/>
          <w:szCs w:val="28"/>
          <w:lang w:eastAsia="ru-RU"/>
        </w:rPr>
      </w:pPr>
      <w:r w:rsidRPr="00BA68B5">
        <w:rPr>
          <w:rFonts w:ascii="Times New Roman" w:eastAsia="Times New Roman" w:hAnsi="Times New Roman" w:cs="Times New Roman"/>
          <w:noProof/>
          <w:color w:val="FF0000"/>
          <w:sz w:val="28"/>
          <w:szCs w:val="28"/>
          <w:lang w:eastAsia="ru-RU"/>
        </w:rPr>
        <w:drawing>
          <wp:inline distT="0" distB="0" distL="0" distR="0" wp14:anchorId="44884BEE" wp14:editId="3BD5C1CD">
            <wp:extent cx="5636029" cy="3000894"/>
            <wp:effectExtent l="38100" t="0" r="222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55A57" w:rsidRPr="00BA68B5" w:rsidRDefault="00F55A57" w:rsidP="00F55A57">
      <w:pPr>
        <w:spacing w:after="0" w:line="360" w:lineRule="auto"/>
        <w:ind w:firstLine="709"/>
        <w:jc w:val="center"/>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Аварийность.</w:t>
      </w:r>
    </w:p>
    <w:p w:rsidR="00F55A57" w:rsidRPr="00BA68B5" w:rsidRDefault="00F55A57" w:rsidP="00F55A57">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зарегистрирована 1 авария, за аналогичный период 2019 года зарегистрировано 2 аварии. </w:t>
      </w:r>
    </w:p>
    <w:p w:rsidR="009E1014" w:rsidRPr="00BA68B5" w:rsidRDefault="009E1014" w:rsidP="009E1014">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Травматизм.</w:t>
      </w:r>
    </w:p>
    <w:p w:rsidR="009E1014" w:rsidRPr="00BA68B5" w:rsidRDefault="009E1014" w:rsidP="009E1014">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как и за 6 месяцев 2019 года несчастных случаев не зарегистрировано.</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Динамика аварийности и производственного травматизма за 2019 – 2020 годы на опасных производственных объектах нефтехимической и нефтегазоперерабатывающей промышленности представлена на диаграмме:</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noProof/>
          <w:sz w:val="28"/>
          <w:szCs w:val="28"/>
          <w:lang w:eastAsia="ru-RU"/>
        </w:rPr>
        <w:drawing>
          <wp:inline distT="0" distB="0" distL="0" distR="0" wp14:anchorId="1278B53C" wp14:editId="3BCD7785">
            <wp:extent cx="5486400" cy="2876204"/>
            <wp:effectExtent l="0" t="0" r="19050" b="1968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течение 6 месяцев 2020 года Средне-Поволжским управлением Ростехнадзора в отношении организаций, эксплуатирующих опасные производственные объекты, проведено 111 проверок соблюдения требований промышленной безопасности на опасных производственных объектах, из числа которых 82 проверки в рамках постоянного государственного надзора, тогда как за аналогичный период 2019 года проведено 175 проверок, из числа которых 111 проверок в рамках режима постоянного государственного надзора.</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было проведено 23 внеплановых проверки, за 6 месяцев 2019 – 50 внеплановых проверок.</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было проведено 6 плановых проверок, за 6 месяцев 2019 – 14 плановых проверок.</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Количество выявленных нарушений требований промышленной безопасности за 6 месяцев 2020 года составило – 1506 нарушений, за 6 месяцев 2019 года составляло – 2851 нарушение. </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в сравнении с аналогичным периодом 2019 года произошло уменьшение количества проверок (в том числе внеплановых проверок по контролю за исполнением предписаний), уменьшение количества выявленных нарушений, уменьшение количества административных наказаний в связи с отменой плановых и внеплановых проверок на основании  пункта 10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55A57" w:rsidRPr="00BA68B5" w:rsidRDefault="00F55A57" w:rsidP="00F55A57">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2019 года количество наложенных административных наказаний составило – 103 административных штрафа, за 6 месяцев 2019 года составляло – 173 административных штрафа, в частности, по приостановкам деятельности количество административных наказаний уменьшилось на 4 (6 месяцев 2019 года – 4, 6 месяцев 2020 года – 0 административных наказаний.)</w:t>
      </w:r>
    </w:p>
    <w:p w:rsidR="00F55A57" w:rsidRPr="00BA68B5" w:rsidRDefault="00F55A57" w:rsidP="00F55A57">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hAnsi="Times New Roman" w:cs="Times New Roman"/>
          <w:sz w:val="28"/>
          <w:szCs w:val="28"/>
        </w:rPr>
        <w:t xml:space="preserve">Общая сумма наложенных административных штрафов за 6 месяцев 2020 года составила  15853 тыс. рублей, за 6 месяцев 2019 года – 26567 тыс. рублей, в том числе </w:t>
      </w:r>
      <w:r w:rsidRPr="00BA68B5">
        <w:rPr>
          <w:rFonts w:ascii="Times New Roman" w:eastAsia="Times New Roman" w:hAnsi="Times New Roman" w:cs="Times New Roman"/>
          <w:sz w:val="28"/>
          <w:szCs w:val="28"/>
          <w:lang w:eastAsia="ru-RU"/>
        </w:rPr>
        <w:t xml:space="preserve">сумма наложенных административных штрафов на юридических лиц уменьшилась на 9900 тыс. рублей </w:t>
      </w:r>
      <w:r w:rsidRPr="00BA68B5">
        <w:rPr>
          <w:rFonts w:ascii="Times New Roman" w:hAnsi="Times New Roman" w:cs="Times New Roman"/>
          <w:sz w:val="28"/>
          <w:szCs w:val="28"/>
        </w:rPr>
        <w:t xml:space="preserve">(6 месяцев 2020 года  – 14435 тыс. рублей, 6 месяцев 2019 года – 24335 тыс. рублей), </w:t>
      </w:r>
      <w:r w:rsidRPr="00BA68B5">
        <w:rPr>
          <w:rFonts w:ascii="Times New Roman" w:eastAsia="Times New Roman" w:hAnsi="Times New Roman" w:cs="Times New Roman"/>
          <w:sz w:val="28"/>
          <w:szCs w:val="28"/>
          <w:lang w:eastAsia="ru-RU"/>
        </w:rPr>
        <w:t xml:space="preserve">сумма наложенных административных штрафов на должностных лиц уменьшилась на 814 тыс. рублей </w:t>
      </w:r>
      <w:r w:rsidRPr="00BA68B5">
        <w:rPr>
          <w:rFonts w:ascii="Times New Roman" w:hAnsi="Times New Roman" w:cs="Times New Roman"/>
          <w:sz w:val="28"/>
          <w:szCs w:val="28"/>
        </w:rPr>
        <w:t>(6 месяцев 2020 года –1418 тыс. рублей, 6 месяцев 2019 года – 2232 тыс. рублей)</w:t>
      </w:r>
      <w:r w:rsidRPr="00BA68B5">
        <w:rPr>
          <w:rFonts w:ascii="Times New Roman" w:eastAsia="Times New Roman" w:hAnsi="Times New Roman" w:cs="Times New Roman"/>
          <w:sz w:val="28"/>
          <w:szCs w:val="28"/>
          <w:lang w:eastAsia="ru-RU"/>
        </w:rPr>
        <w:t>.</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При проведении контрольно-надзорных мероприятий на объектах нефтехимической и нефтегазоперерабатывающей промышленности и объекты нефтепродуктообеспечения выявляются следующие характерные нарушения:</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для нагнетания ГЖ и ЛВЖ вместо бессальниковых центробежных насосов с двойным торцевым уплотнением используются насосы </w:t>
      </w:r>
      <w:r w:rsidRPr="00BA68B5">
        <w:rPr>
          <w:rFonts w:ascii="Times New Roman" w:eastAsia="Calibri" w:hAnsi="Times New Roman" w:cs="Times New Roman"/>
          <w:sz w:val="28"/>
          <w:szCs w:val="28"/>
        </w:rPr>
        <w:br/>
        <w:t>с сальниковым уплотнением;</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не оборудованы системами двусторонней громкоговорящей и телефонной связи технологические блоки опасных производственных объектов;</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не обеспечена необходимая степень герметичности разъемных соединений в течение межремонтного периода эксплуатации технологической системы;</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не обеспечено проведение экспертизы промышленной безопасности технических устройств;</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отсутствует тепловая изоляция оборудования, работающего под избыточным давлением;</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не выполняются условия дальнейшей безопасной эксплуатации зданий </w:t>
      </w:r>
      <w:r w:rsidRPr="00BA68B5">
        <w:rPr>
          <w:rFonts w:ascii="Times New Roman" w:eastAsia="Calibri" w:hAnsi="Times New Roman" w:cs="Times New Roman"/>
          <w:sz w:val="28"/>
          <w:szCs w:val="28"/>
        </w:rPr>
        <w:br/>
        <w:t>и сооружений опасных производственных объектов, указанных в экспертизе промышленной безопасности;</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не обеспечивается полнота и достоверность сведений, представляемых организациями при регистрации опасных производственных объектов в государственном реестре опасных производственных объектов;</w:t>
      </w:r>
    </w:p>
    <w:p w:rsidR="00F55A57" w:rsidRPr="00BA68B5" w:rsidRDefault="00F55A57" w:rsidP="00F55A57">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 производственных помещениях рабочих зон открытых наружных установок отсутствуют средства автоматического непрерывного газового контроля загазованности по предельно допустимой концентрации </w:t>
      </w:r>
      <w:r w:rsidRPr="00BA68B5">
        <w:rPr>
          <w:rFonts w:ascii="Times New Roman" w:eastAsia="Calibri" w:hAnsi="Times New Roman" w:cs="Times New Roman"/>
          <w:sz w:val="28"/>
          <w:szCs w:val="28"/>
        </w:rPr>
        <w:br/>
        <w:t>с сигнализацией, срабатывающей при достижении предельно допустимых величин, и с выдачей сигналов в систему ПАЗ на опасных производственных объектах.</w:t>
      </w:r>
    </w:p>
    <w:p w:rsidR="002858E9" w:rsidRPr="00BA68B5" w:rsidRDefault="002858E9" w:rsidP="00131542">
      <w:pPr>
        <w:keepNext/>
        <w:keepLines/>
        <w:tabs>
          <w:tab w:val="left" w:pos="709"/>
        </w:tabs>
        <w:spacing w:before="200" w:after="0" w:line="240" w:lineRule="auto"/>
        <w:jc w:val="center"/>
        <w:outlineLvl w:val="2"/>
        <w:rPr>
          <w:rFonts w:ascii="Times New Roman" w:eastAsia="Times New Roman" w:hAnsi="Times New Roman" w:cs="Times New Roman"/>
          <w:b/>
          <w:color w:val="000000"/>
          <w:sz w:val="28"/>
          <w:szCs w:val="28"/>
          <w:lang w:eastAsia="ru-RU"/>
        </w:rPr>
      </w:pPr>
      <w:bookmarkStart w:id="8" w:name="_Toc480912877"/>
      <w:bookmarkEnd w:id="6"/>
      <w:r w:rsidRPr="00BA68B5">
        <w:rPr>
          <w:rFonts w:ascii="Times New Roman" w:eastAsia="Times New Roman" w:hAnsi="Times New Roman" w:cs="Times New Roman"/>
          <w:b/>
          <w:color w:val="000000"/>
          <w:sz w:val="28"/>
          <w:szCs w:val="28"/>
          <w:lang w:eastAsia="ru-RU"/>
        </w:rPr>
        <w:t>Объекты металлур</w:t>
      </w:r>
      <w:r w:rsidR="003F327D" w:rsidRPr="00BA68B5">
        <w:rPr>
          <w:rFonts w:ascii="Times New Roman" w:eastAsia="Times New Roman" w:hAnsi="Times New Roman" w:cs="Times New Roman"/>
          <w:b/>
          <w:color w:val="000000"/>
          <w:sz w:val="28"/>
          <w:szCs w:val="28"/>
          <w:lang w:eastAsia="ru-RU"/>
        </w:rPr>
        <w:t>гической промышленности</w:t>
      </w:r>
    </w:p>
    <w:p w:rsidR="00BA3B02" w:rsidRPr="00BA68B5" w:rsidRDefault="00BA3B02" w:rsidP="009D4539">
      <w:pPr>
        <w:pStyle w:val="affe"/>
        <w:rPr>
          <w:lang w:eastAsia="ru-RU"/>
        </w:rPr>
      </w:pPr>
    </w:p>
    <w:p w:rsidR="00A279A2" w:rsidRPr="00BA68B5" w:rsidRDefault="00A279A2" w:rsidP="00A279A2">
      <w:pPr>
        <w:spacing w:after="0" w:line="360" w:lineRule="auto"/>
        <w:ind w:firstLine="709"/>
        <w:jc w:val="both"/>
        <w:rPr>
          <w:rFonts w:ascii="Times New Roman" w:hAnsi="Times New Roman" w:cs="Times New Roman"/>
          <w:bCs/>
          <w:sz w:val="28"/>
          <w:szCs w:val="28"/>
        </w:rPr>
      </w:pPr>
      <w:r w:rsidRPr="00BA68B5">
        <w:rPr>
          <w:rFonts w:ascii="Times New Roman" w:hAnsi="Times New Roman" w:cs="Times New Roman"/>
          <w:bCs/>
          <w:sz w:val="28"/>
          <w:szCs w:val="28"/>
        </w:rPr>
        <w:t xml:space="preserve">За 6 месяцев 2020 года федеральный государственный надзор в области промышленной безопасности осуществлялся в отношении 81 опасного производственного объектов </w:t>
      </w:r>
      <w:r w:rsidRPr="00BA68B5">
        <w:rPr>
          <w:rFonts w:ascii="Times New Roman" w:eastAsia="Times New Roman" w:hAnsi="Times New Roman" w:cs="Times New Roman"/>
          <w:bCs/>
          <w:color w:val="000000"/>
          <w:sz w:val="28"/>
          <w:szCs w:val="28"/>
          <w:lang w:eastAsia="ru-RU"/>
        </w:rPr>
        <w:t>металлургической промышленности</w:t>
      </w:r>
      <w:r w:rsidRPr="00BA68B5">
        <w:rPr>
          <w:rFonts w:ascii="Times New Roman" w:hAnsi="Times New Roman" w:cs="Times New Roman"/>
          <w:bCs/>
          <w:sz w:val="28"/>
          <w:szCs w:val="28"/>
        </w:rPr>
        <w:t>.</w:t>
      </w:r>
    </w:p>
    <w:p w:rsidR="00A279A2" w:rsidRPr="00BA68B5" w:rsidRDefault="00A279A2" w:rsidP="00A279A2">
      <w:pPr>
        <w:spacing w:after="0" w:line="360" w:lineRule="auto"/>
        <w:ind w:firstLine="709"/>
        <w:jc w:val="both"/>
        <w:rPr>
          <w:rFonts w:ascii="Times New Roman" w:hAnsi="Times New Roman" w:cs="Times New Roman"/>
          <w:bCs/>
          <w:sz w:val="28"/>
          <w:szCs w:val="28"/>
        </w:rPr>
      </w:pPr>
      <w:r w:rsidRPr="00BA68B5">
        <w:rPr>
          <w:rFonts w:ascii="Times New Roman" w:hAnsi="Times New Roman" w:cs="Times New Roman"/>
          <w:bCs/>
          <w:noProof/>
          <w:sz w:val="28"/>
          <w:szCs w:val="28"/>
          <w:lang w:eastAsia="ru-RU"/>
        </w:rPr>
        <w:drawing>
          <wp:inline distT="0" distB="0" distL="0" distR="0" wp14:anchorId="546EF00C" wp14:editId="3EFBE82E">
            <wp:extent cx="5486400" cy="2734887"/>
            <wp:effectExtent l="0" t="0" r="19050" b="2794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79A2" w:rsidRPr="00BA68B5" w:rsidRDefault="00A279A2" w:rsidP="00A279A2">
      <w:pPr>
        <w:tabs>
          <w:tab w:val="left" w:pos="709"/>
        </w:tabs>
        <w:spacing w:after="0" w:line="360" w:lineRule="auto"/>
        <w:ind w:firstLine="709"/>
        <w:jc w:val="both"/>
        <w:rPr>
          <w:rFonts w:ascii="Times New Roman" w:eastAsia="Calibri"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на </w:t>
      </w:r>
      <w:r w:rsidR="00CE48E3" w:rsidRPr="00BA68B5">
        <w:rPr>
          <w:rFonts w:ascii="Times New Roman" w:eastAsia="Times New Roman" w:hAnsi="Times New Roman" w:cs="Times New Roman"/>
          <w:sz w:val="28"/>
          <w:szCs w:val="28"/>
          <w:lang w:eastAsia="ru-RU"/>
        </w:rPr>
        <w:t>опасных производственных объектах</w:t>
      </w:r>
      <w:r w:rsidRPr="00BA68B5">
        <w:rPr>
          <w:rFonts w:ascii="Times New Roman" w:eastAsia="Times New Roman" w:hAnsi="Times New Roman" w:cs="Times New Roman"/>
          <w:sz w:val="28"/>
          <w:szCs w:val="28"/>
          <w:lang w:eastAsia="ru-RU"/>
        </w:rPr>
        <w:t xml:space="preserve"> аварии и несчастные случаи со смертельным исходом, как и </w:t>
      </w:r>
      <w:r w:rsidRPr="00BA68B5">
        <w:rPr>
          <w:rFonts w:ascii="Times New Roman" w:eastAsia="Calibri" w:hAnsi="Times New Roman" w:cs="Times New Roman"/>
          <w:sz w:val="28"/>
          <w:szCs w:val="28"/>
          <w:lang w:eastAsia="ru-RU"/>
        </w:rPr>
        <w:t>за аналогичный период 2019 года, не зафиксированы.</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Средне-Поволжским управлением Ростехнадзора в течение 6 месяцев 2020 года проведено 8 проверок</w:t>
      </w:r>
      <w:r w:rsidRPr="00BA68B5">
        <w:rPr>
          <w:rFonts w:ascii="Times New Roman" w:hAnsi="Times New Roman" w:cs="Times New Roman"/>
          <w:bCs/>
          <w:sz w:val="28"/>
          <w:szCs w:val="28"/>
        </w:rPr>
        <w:t xml:space="preserve"> </w:t>
      </w:r>
      <w:r w:rsidRPr="00BA68B5">
        <w:rPr>
          <w:rFonts w:ascii="Times New Roman" w:hAnsi="Times New Roman" w:cs="Times New Roman"/>
          <w:sz w:val="28"/>
          <w:szCs w:val="28"/>
        </w:rPr>
        <w:t>соблюдения требований промышленной безопасности при эксплуатации опасных производственных объектов (за 6 месяцев 2019 года – 12), в том числе плановых проверок –6 (за 6 месяцев 2019 года – 6).</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color w:val="FF0000"/>
          <w:sz w:val="28"/>
          <w:szCs w:val="28"/>
        </w:rPr>
      </w:pPr>
      <w:r w:rsidRPr="00BA68B5">
        <w:rPr>
          <w:rFonts w:ascii="Times New Roman" w:hAnsi="Times New Roman" w:cs="Times New Roman"/>
          <w:sz w:val="28"/>
          <w:szCs w:val="28"/>
        </w:rPr>
        <w:t>Проверки с привлечением представителей территориальных органов органами прокуратуры за 6 месяцев 2020 года не проводились.</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количество проверок</w:t>
      </w:r>
      <w:r w:rsidRPr="00BA68B5">
        <w:rPr>
          <w:rFonts w:ascii="Times New Roman" w:hAnsi="Times New Roman" w:cs="Times New Roman"/>
          <w:bCs/>
          <w:sz w:val="28"/>
          <w:szCs w:val="28"/>
        </w:rPr>
        <w:t>,</w:t>
      </w:r>
      <w:r w:rsidRPr="00BA68B5">
        <w:rPr>
          <w:rFonts w:ascii="Times New Roman" w:hAnsi="Times New Roman" w:cs="Times New Roman"/>
          <w:sz w:val="28"/>
          <w:szCs w:val="28"/>
        </w:rPr>
        <w:t xml:space="preserve"> по которым выявлены правонарушения, составило 7, из них плановых проверок – 5 (за 6 месяцев 2019 года –5 проверок, из них плановых проверок –</w:t>
      </w:r>
      <w:r w:rsidR="00CE48E3" w:rsidRPr="00BA68B5">
        <w:rPr>
          <w:rFonts w:ascii="Times New Roman" w:hAnsi="Times New Roman" w:cs="Times New Roman"/>
          <w:sz w:val="28"/>
          <w:szCs w:val="28"/>
        </w:rPr>
        <w:t xml:space="preserve"> </w:t>
      </w:r>
      <w:r w:rsidRPr="00BA68B5">
        <w:rPr>
          <w:rFonts w:ascii="Times New Roman" w:hAnsi="Times New Roman" w:cs="Times New Roman"/>
          <w:sz w:val="28"/>
          <w:szCs w:val="28"/>
        </w:rPr>
        <w:t>4).</w:t>
      </w:r>
    </w:p>
    <w:p w:rsidR="00CE48E3"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В результате проведенных проверок выявлено 141 нарушение требований промышленной безопасности (за 6 месяцев 2019 года – 76), из них при плановых проверках – 91. </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Количество административных наказаний, наложенных по итогам проверок, составило 13 (1 административное приостановление деятельности, 11 административных штрафов и 1 предупреждение). </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Общая сумма административных штрафов составила 820 тыс. рублей (за 6 месяцев 2019 года – 280 тыс. рублей), в том числе наложенных на юридических лиц – 720 тыс. рублей, на должностных лиц – 100 тыс. рублей. </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За 6 месяцев 2020 года по фактам выявленных нарушений </w:t>
      </w:r>
      <w:r w:rsidRPr="00BA68B5">
        <w:rPr>
          <w:rFonts w:ascii="Times New Roman" w:hAnsi="Times New Roman" w:cs="Times New Roman"/>
          <w:sz w:val="28"/>
          <w:szCs w:val="28"/>
        </w:rPr>
        <w:br/>
        <w:t>при проведении проверок в правоохранительные органы для возбуждения уголовного дела (принятия мер прокурорского реагирования) материалы  проверок не направлялись.</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Типичных нарушения обязательных требований, выявляемые при проведении проверок:</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границы проездов и проходов в производственных помещениях не имеют ограждений или специальной разметки;</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обозначается опасная зона на литейных участках для нахождения людей возле металлургических агрегатов;</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отсутствуют предупредительные плакаты, знаки безопасности или звуковая (световая) сигнализация в местах повышенной опасности </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и расположения технических устройств;</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нарушена целостность дым отводящего приемника от металлургического оборудования;</w:t>
      </w:r>
    </w:p>
    <w:p w:rsidR="00A279A2" w:rsidRPr="00BA68B5" w:rsidRDefault="00A279A2" w:rsidP="00A279A2">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полы в помещениях на литейных участках и на рабочих площадках металлургических агрегатов не ровные, без твердого износоустойчивого покрытия.</w:t>
      </w:r>
    </w:p>
    <w:p w:rsidR="00BA3CE9" w:rsidRPr="00BA68B5" w:rsidRDefault="00BA3CE9" w:rsidP="00BA3CE9">
      <w:pPr>
        <w:pStyle w:val="affe"/>
      </w:pPr>
    </w:p>
    <w:p w:rsidR="00330760" w:rsidRPr="00BA68B5" w:rsidRDefault="00330760" w:rsidP="00C90FD0">
      <w:pPr>
        <w:tabs>
          <w:tab w:val="left" w:pos="709"/>
        </w:tabs>
        <w:jc w:val="center"/>
        <w:rPr>
          <w:rFonts w:ascii="Times New Roman" w:hAnsi="Times New Roman" w:cs="Times New Roman"/>
          <w:b/>
          <w:sz w:val="28"/>
          <w:szCs w:val="28"/>
        </w:rPr>
      </w:pPr>
      <w:r w:rsidRPr="00BA68B5">
        <w:rPr>
          <w:rFonts w:ascii="Times New Roman" w:hAnsi="Times New Roman" w:cs="Times New Roman"/>
          <w:b/>
          <w:sz w:val="28"/>
          <w:szCs w:val="28"/>
        </w:rPr>
        <w:t>Объекты газораспределения и газопотребления</w:t>
      </w:r>
      <w:bookmarkEnd w:id="8"/>
    </w:p>
    <w:p w:rsidR="00CE48E3" w:rsidRPr="00BA68B5" w:rsidRDefault="00CE48E3" w:rsidP="00CE48E3">
      <w:pPr>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Средне-Поволжским управлением Ростехнадзора федеральный государственный надзор в области промышленной безопасности осуществляется в отношении 4315 опасных производственных объектов, из них:</w:t>
      </w:r>
      <w:r w:rsidR="00BA68B5">
        <w:rPr>
          <w:rFonts w:ascii="Times New Roman" w:eastAsia="Times New Roman" w:hAnsi="Times New Roman" w:cs="Times New Roman"/>
          <w:bCs/>
          <w:sz w:val="28"/>
          <w:szCs w:val="28"/>
          <w:lang w:eastAsia="ru-RU"/>
        </w:rPr>
        <w:t xml:space="preserve"> </w:t>
      </w:r>
    </w:p>
    <w:p w:rsidR="00CE48E3" w:rsidRPr="00BA68B5" w:rsidRDefault="00CE48E3" w:rsidP="00CE48E3">
      <w:pPr>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ОПО 1 класса опасности – 0,</w:t>
      </w:r>
    </w:p>
    <w:p w:rsidR="00CE48E3" w:rsidRPr="00BA68B5" w:rsidRDefault="00CE48E3" w:rsidP="00CE48E3">
      <w:pPr>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ОПО 2 класса опасности: 13 (0,3 %),</w:t>
      </w:r>
    </w:p>
    <w:p w:rsidR="00CE48E3" w:rsidRPr="00BA68B5" w:rsidRDefault="00CE48E3" w:rsidP="00CE48E3">
      <w:pPr>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ОПО 3 класса опасности: 4137 (95,9%), </w:t>
      </w:r>
    </w:p>
    <w:p w:rsidR="00CE48E3" w:rsidRPr="00BA68B5" w:rsidRDefault="00CE48E3" w:rsidP="00CE48E3">
      <w:pPr>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ОПО 4 класса опасности: 149 (3,5 %), </w:t>
      </w:r>
    </w:p>
    <w:p w:rsidR="00CE48E3" w:rsidRPr="00BA68B5" w:rsidRDefault="00CE48E3" w:rsidP="00CE48E3">
      <w:pPr>
        <w:tabs>
          <w:tab w:val="left" w:pos="9356"/>
        </w:tabs>
        <w:spacing w:after="0" w:line="360" w:lineRule="auto"/>
        <w:ind w:firstLine="284"/>
        <w:jc w:val="center"/>
        <w:rPr>
          <w:rFonts w:ascii="Times New Roman" w:eastAsia="Times New Roman" w:hAnsi="Times New Roman" w:cs="Times New Roman"/>
          <w:bCs/>
          <w:sz w:val="28"/>
          <w:szCs w:val="28"/>
          <w:lang w:eastAsia="ru-RU"/>
        </w:rPr>
      </w:pPr>
      <w:r w:rsidRPr="00BA68B5">
        <w:rPr>
          <w:rFonts w:ascii="Calibri" w:eastAsia="Times New Roman" w:hAnsi="Calibri" w:cs="Times New Roman"/>
          <w:noProof/>
          <w:lang w:eastAsia="ru-RU"/>
        </w:rPr>
        <w:drawing>
          <wp:inline distT="0" distB="0" distL="0" distR="0" wp14:anchorId="61071529" wp14:editId="67C3A7AD">
            <wp:extent cx="6001789" cy="2884516"/>
            <wp:effectExtent l="0" t="0" r="18415" b="1143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E48E3" w:rsidRPr="00BA68B5" w:rsidRDefault="00CE48E3" w:rsidP="00CE48E3">
      <w:pPr>
        <w:tabs>
          <w:tab w:val="left" w:pos="9356"/>
        </w:tabs>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За 6 месяцев 2020 года на объектах газораспределения аварии и несчастные случаи не зафиксированы, так же, как и за 2019 и 2018 годы.</w:t>
      </w:r>
    </w:p>
    <w:p w:rsidR="00E97141" w:rsidRPr="00BA68B5" w:rsidRDefault="00E97141" w:rsidP="00CE48E3">
      <w:pPr>
        <w:spacing w:after="0" w:line="360" w:lineRule="auto"/>
        <w:jc w:val="center"/>
        <w:rPr>
          <w:rFonts w:ascii="Times New Roman" w:eastAsia="Times New Roman" w:hAnsi="Times New Roman" w:cs="Times New Roman"/>
          <w:bCs/>
          <w:sz w:val="28"/>
          <w:szCs w:val="28"/>
          <w:u w:val="single"/>
          <w:lang w:eastAsia="ru-RU"/>
        </w:rPr>
      </w:pPr>
    </w:p>
    <w:p w:rsidR="00CE48E3" w:rsidRPr="00BA68B5" w:rsidRDefault="00CE48E3" w:rsidP="00CE48E3">
      <w:pPr>
        <w:spacing w:after="0" w:line="360" w:lineRule="auto"/>
        <w:jc w:val="center"/>
        <w:rPr>
          <w:rFonts w:ascii="Times New Roman" w:eastAsia="Times New Roman" w:hAnsi="Times New Roman" w:cs="Times New Roman"/>
          <w:bCs/>
          <w:sz w:val="28"/>
          <w:szCs w:val="28"/>
          <w:u w:val="single"/>
          <w:lang w:eastAsia="ru-RU"/>
        </w:rPr>
      </w:pPr>
      <w:r w:rsidRPr="00BA68B5">
        <w:rPr>
          <w:rFonts w:ascii="Times New Roman" w:eastAsia="Times New Roman" w:hAnsi="Times New Roman" w:cs="Times New Roman"/>
          <w:bCs/>
          <w:sz w:val="28"/>
          <w:szCs w:val="28"/>
          <w:u w:val="single"/>
          <w:lang w:eastAsia="ru-RU"/>
        </w:rPr>
        <w:t xml:space="preserve">Динамика аварийности и производственного травматизма </w:t>
      </w:r>
      <w:r w:rsidRPr="00BA68B5">
        <w:rPr>
          <w:rFonts w:ascii="Times New Roman" w:eastAsia="Times New Roman" w:hAnsi="Times New Roman" w:cs="Times New Roman"/>
          <w:sz w:val="28"/>
          <w:szCs w:val="28"/>
          <w:u w:val="single"/>
          <w:lang w:eastAsia="ru-RU"/>
        </w:rPr>
        <w:t xml:space="preserve">со смертельным исходом </w:t>
      </w:r>
      <w:r w:rsidRPr="00BA68B5">
        <w:rPr>
          <w:rFonts w:ascii="Times New Roman" w:eastAsia="Times New Roman" w:hAnsi="Times New Roman" w:cs="Times New Roman"/>
          <w:bCs/>
          <w:sz w:val="28"/>
          <w:szCs w:val="28"/>
          <w:u w:val="single"/>
          <w:lang w:eastAsia="ru-RU"/>
        </w:rPr>
        <w:t>за 2014 – 2020 годы на опасных производственных объектах газораспределения и газопотребления</w:t>
      </w:r>
    </w:p>
    <w:p w:rsidR="00CE48E3" w:rsidRPr="00BA68B5" w:rsidRDefault="00CE48E3" w:rsidP="00CE48E3">
      <w:pPr>
        <w:spacing w:after="0" w:line="360" w:lineRule="auto"/>
        <w:ind w:firstLine="708"/>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 xml:space="preserve">Производственный травматизм со смертельным исходом с 2014 по 2019 и за 6 месяцев 2020 г. не зарегистрирован. Количество аварий: </w:t>
      </w:r>
      <w:r w:rsidRPr="00BA68B5">
        <w:rPr>
          <w:rFonts w:ascii="Times New Roman" w:eastAsia="Times New Roman" w:hAnsi="Times New Roman" w:cs="Times New Roman"/>
          <w:bCs/>
          <w:sz w:val="28"/>
          <w:szCs w:val="28"/>
          <w:lang w:eastAsia="ru-RU"/>
        </w:rPr>
        <w:tab/>
      </w:r>
    </w:p>
    <w:p w:rsidR="00CE48E3" w:rsidRPr="00BA68B5" w:rsidRDefault="00CE48E3" w:rsidP="00CE48E3">
      <w:pPr>
        <w:spacing w:after="0" w:line="360" w:lineRule="auto"/>
        <w:ind w:left="2124" w:firstLine="708"/>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2014 г. – 1 авария (обрушение стены котельной)</w:t>
      </w:r>
    </w:p>
    <w:p w:rsidR="00CE48E3" w:rsidRPr="00BA68B5" w:rsidRDefault="00CE48E3" w:rsidP="00CE48E3">
      <w:pPr>
        <w:spacing w:after="0" w:line="360" w:lineRule="auto"/>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t>2015 г. – 1 авария (взрыв в котельной)</w:t>
      </w:r>
    </w:p>
    <w:p w:rsidR="00CE48E3" w:rsidRPr="00BA68B5" w:rsidRDefault="00CE48E3" w:rsidP="00CE48E3">
      <w:pPr>
        <w:spacing w:after="0" w:line="360" w:lineRule="auto"/>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t>2016 г. – аварий не было</w:t>
      </w:r>
    </w:p>
    <w:p w:rsidR="00CE48E3" w:rsidRPr="00BA68B5" w:rsidRDefault="00CE48E3" w:rsidP="00CE48E3">
      <w:pPr>
        <w:spacing w:after="0" w:line="360" w:lineRule="auto"/>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t>2017 г. – 1 авария</w:t>
      </w:r>
    </w:p>
    <w:p w:rsidR="00CE48E3" w:rsidRPr="00BA68B5" w:rsidRDefault="00CE48E3" w:rsidP="00CE48E3">
      <w:pPr>
        <w:spacing w:after="0" w:line="360" w:lineRule="auto"/>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t>2018 г. – аварий не было</w:t>
      </w:r>
    </w:p>
    <w:p w:rsidR="00CE48E3" w:rsidRPr="00BA68B5" w:rsidRDefault="00CE48E3" w:rsidP="00CE48E3">
      <w:pPr>
        <w:spacing w:after="0" w:line="360" w:lineRule="auto"/>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r>
      <w:r w:rsidRPr="00BA68B5">
        <w:rPr>
          <w:rFonts w:ascii="Times New Roman" w:eastAsia="Times New Roman" w:hAnsi="Times New Roman" w:cs="Times New Roman"/>
          <w:bCs/>
          <w:sz w:val="28"/>
          <w:szCs w:val="28"/>
          <w:lang w:eastAsia="ru-RU"/>
        </w:rPr>
        <w:tab/>
        <w:t>2019 г. – аварий не было</w:t>
      </w:r>
    </w:p>
    <w:p w:rsidR="00CE48E3" w:rsidRPr="00BA68B5" w:rsidRDefault="00CE48E3" w:rsidP="00CE48E3">
      <w:pPr>
        <w:spacing w:after="0"/>
        <w:jc w:val="center"/>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58047342" wp14:editId="3DC69BE5">
            <wp:extent cx="5943600" cy="2502131"/>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rPr>
      </w:pPr>
      <w:r w:rsidRPr="00BA68B5">
        <w:rPr>
          <w:rFonts w:ascii="Times New Roman" w:eastAsia="Times New Roman" w:hAnsi="Times New Roman" w:cs="Times New Roman"/>
          <w:sz w:val="28"/>
          <w:szCs w:val="28"/>
        </w:rPr>
        <w:t>Анализ результатов технических расследований причин аварий показывает, что основными причинами возникновения аварий являлись внешние опасные факторы, связанные с механическим повреждением газопроводов вследствие воздействия посторонних лиц и организаций.</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Средне-Поволжским управлением Ростехнадзора за 6 месяцев  2020 года проведено 620 проверок, из них: 334 проверок соблюдения требований промышленной безопасности при эксплуатации опасных производственных объектов (за 6 месяцев 2019 года – 1088), 286 проверок соблюдения требований Технического регламента о безопасности сетей газораспределения и газопотребления.</w:t>
      </w:r>
    </w:p>
    <w:p w:rsidR="00CE48E3" w:rsidRPr="00BA68B5" w:rsidRDefault="00CE48E3" w:rsidP="00CE48E3">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132 проверки (из них 34 по техническому регламенту);</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9 проверок;</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0 проверок;</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 62 проверки;</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также мероприятий по контролю, инициированных обращением заявителя, связанных с приемкой и пуском в эксплуатацию объектов и оборудования в соответствии с положениями нормативных правовых актов – 351.</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Выявлено 2074 нарушения норм и правил, из них 1846 нарушений требований промышленной безопасности (за 6 месяцев 2019 года – 3994, из них 2937 нарушений требований промышленной безопасности).</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По результатам проверок привлечено к административной </w:t>
      </w:r>
      <w:r w:rsidRPr="00BA68B5">
        <w:rPr>
          <w:rFonts w:ascii="Times New Roman" w:eastAsia="Times New Roman" w:hAnsi="Times New Roman" w:cs="Times New Roman"/>
          <w:bCs/>
          <w:sz w:val="28"/>
          <w:szCs w:val="28"/>
          <w:lang w:eastAsia="ru-RU"/>
        </w:rPr>
        <w:t xml:space="preserve">ответственности в виде административного штрафа 68 должностных лица, 51 юридическое лицо </w:t>
      </w:r>
      <w:r w:rsidRPr="00BA68B5">
        <w:rPr>
          <w:rFonts w:ascii="Times New Roman" w:eastAsia="Times New Roman" w:hAnsi="Times New Roman" w:cs="Times New Roman"/>
          <w:sz w:val="28"/>
          <w:szCs w:val="28"/>
          <w:lang w:eastAsia="ru-RU"/>
        </w:rPr>
        <w:t>(за 6 месяцев 2019 года – 180 должностных лиц, 111 юридических лиц).</w:t>
      </w:r>
    </w:p>
    <w:p w:rsidR="00CE48E3" w:rsidRPr="00BA68B5" w:rsidRDefault="00CE48E3" w:rsidP="00CE48E3">
      <w:pPr>
        <w:spacing w:after="0" w:line="360" w:lineRule="auto"/>
        <w:ind w:firstLine="709"/>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По сравнению с аналогичным периодом 2019 года произошло понижения показателей более чем на 20 % в связи с приостановкой проведения проверок на основани</w:t>
      </w:r>
      <w:r w:rsidR="001F3455" w:rsidRPr="00BA68B5">
        <w:rPr>
          <w:rFonts w:ascii="Times New Roman" w:eastAsia="Times New Roman" w:hAnsi="Times New Roman" w:cs="Times New Roman"/>
          <w:bCs/>
          <w:sz w:val="28"/>
          <w:szCs w:val="28"/>
          <w:lang w:eastAsia="ru-RU"/>
        </w:rPr>
        <w:t>и</w:t>
      </w:r>
      <w:r w:rsidRPr="00BA68B5">
        <w:rPr>
          <w:rFonts w:ascii="Times New Roman" w:eastAsia="Times New Roman" w:hAnsi="Times New Roman" w:cs="Times New Roman"/>
          <w:bCs/>
          <w:sz w:val="28"/>
          <w:szCs w:val="28"/>
          <w:lang w:eastAsia="ru-RU"/>
        </w:rPr>
        <w:t xml:space="preserve"> Поручения Правительства РФ, исключени</w:t>
      </w:r>
      <w:r w:rsidR="001F3455" w:rsidRPr="00BA68B5">
        <w:rPr>
          <w:rFonts w:ascii="Times New Roman" w:eastAsia="Times New Roman" w:hAnsi="Times New Roman" w:cs="Times New Roman"/>
          <w:bCs/>
          <w:sz w:val="28"/>
          <w:szCs w:val="28"/>
          <w:lang w:eastAsia="ru-RU"/>
        </w:rPr>
        <w:t>ем плановых проверок</w:t>
      </w:r>
      <w:r w:rsidRPr="00BA68B5">
        <w:rPr>
          <w:rFonts w:ascii="Times New Roman" w:eastAsia="Times New Roman" w:hAnsi="Times New Roman" w:cs="Times New Roman"/>
          <w:bCs/>
          <w:sz w:val="28"/>
          <w:szCs w:val="28"/>
          <w:lang w:eastAsia="ru-RU"/>
        </w:rPr>
        <w:t xml:space="preserve"> из ежегодных планов проведения плановых проверок юридических лиц и индивидуальных предпринимателей, </w:t>
      </w:r>
      <w:r w:rsidR="001F3455" w:rsidRPr="00BA68B5">
        <w:rPr>
          <w:rFonts w:ascii="Times New Roman" w:eastAsia="Times New Roman" w:hAnsi="Times New Roman" w:cs="Times New Roman"/>
          <w:bCs/>
          <w:sz w:val="28"/>
          <w:szCs w:val="28"/>
          <w:lang w:eastAsia="ru-RU"/>
        </w:rPr>
        <w:t>а также</w:t>
      </w:r>
      <w:r w:rsidRPr="00BA68B5">
        <w:rPr>
          <w:rFonts w:ascii="Times New Roman" w:eastAsia="Times New Roman" w:hAnsi="Times New Roman" w:cs="Times New Roman"/>
          <w:bCs/>
          <w:sz w:val="28"/>
          <w:szCs w:val="28"/>
          <w:lang w:eastAsia="ru-RU"/>
        </w:rPr>
        <w:t xml:space="preserve"> ограничением проведения внеплановых проверок на основании Постановления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E48E3" w:rsidRPr="00BA68B5" w:rsidRDefault="00CE48E3" w:rsidP="00CE48E3">
      <w:pPr>
        <w:spacing w:after="0" w:line="360" w:lineRule="auto"/>
        <w:ind w:firstLine="708"/>
        <w:rPr>
          <w:rFonts w:ascii="Calibri" w:eastAsia="Times New Roman" w:hAnsi="Calibri" w:cs="Times New Roman"/>
          <w:lang w:eastAsia="ru-RU"/>
        </w:rPr>
      </w:pPr>
      <w:r w:rsidRPr="00BA68B5">
        <w:rPr>
          <w:rFonts w:ascii="Times New Roman" w:eastAsia="Times New Roman" w:hAnsi="Times New Roman" w:cs="Times New Roman"/>
          <w:sz w:val="28"/>
          <w:szCs w:val="28"/>
          <w:lang w:eastAsia="ru-RU"/>
        </w:rPr>
        <w:t>Характерные нарушения, встречающиеся в ходе проведения проверок:</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несоблюдение требований «Правил охраны газораспределительных сетей»;</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несоблюдение требований по ведению технической документации;</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эксплуатация распределительных трубопроводов (газопроводов), отслуживших нормативный срок эксплуатации.</w:t>
      </w:r>
    </w:p>
    <w:p w:rsidR="00CE48E3" w:rsidRPr="00BA68B5" w:rsidRDefault="00CE48E3" w:rsidP="00CE48E3">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Актуальным вопросом остается выявление бесхозяйных газопроводов, определение собственника, в случае отсутствия такового, решение вопроса о передаче бесхозяйных газопроводов на баланс администраций муниципальных районов, а также оформление обременений на охранные зоны распределительных газопроводов.</w:t>
      </w:r>
    </w:p>
    <w:p w:rsidR="00CE48E3" w:rsidRPr="00BA68B5" w:rsidRDefault="00CE48E3" w:rsidP="00CE48E3">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К проблемным вопросам в области промышленной безопасности на поднадзорных предприятиях относятся:</w:t>
      </w:r>
    </w:p>
    <w:p w:rsidR="00CE48E3" w:rsidRPr="00BA68B5" w:rsidRDefault="00CE48E3" w:rsidP="00CE48E3">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наличие бесхозяйных газопроводов и ГРП;</w:t>
      </w:r>
    </w:p>
    <w:p w:rsidR="00CE48E3" w:rsidRPr="00BA68B5" w:rsidRDefault="00CE48E3" w:rsidP="00CE48E3">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крайне медленный процесс регистрации в собственность газовых сетей;</w:t>
      </w:r>
    </w:p>
    <w:p w:rsidR="00CE48E3" w:rsidRPr="00BA68B5" w:rsidRDefault="00CE48E3" w:rsidP="00CE48E3">
      <w:pPr>
        <w:tabs>
          <w:tab w:val="left" w:pos="709"/>
        </w:tabs>
        <w:ind w:firstLine="709"/>
        <w:jc w:val="both"/>
        <w:rPr>
          <w:rFonts w:ascii="Times New Roman" w:hAnsi="Times New Roman" w:cs="Times New Roman"/>
          <w:b/>
          <w:sz w:val="28"/>
          <w:szCs w:val="28"/>
        </w:rPr>
      </w:pPr>
      <w:r w:rsidRPr="00BA68B5">
        <w:rPr>
          <w:rFonts w:ascii="Times New Roman" w:hAnsi="Times New Roman"/>
          <w:sz w:val="28"/>
          <w:szCs w:val="28"/>
        </w:rPr>
        <w:t>частая смена форм собственности и владельцев предприятий, непосредственно влияющая на уровень безопасности эксплуатируемых.</w:t>
      </w:r>
    </w:p>
    <w:p w:rsidR="00341073" w:rsidRPr="00BA68B5" w:rsidRDefault="00341073" w:rsidP="003469F5">
      <w:pPr>
        <w:keepNext/>
        <w:keepLines/>
        <w:tabs>
          <w:tab w:val="left" w:pos="709"/>
        </w:tabs>
        <w:spacing w:after="0" w:line="240" w:lineRule="auto"/>
        <w:jc w:val="center"/>
        <w:outlineLvl w:val="2"/>
        <w:rPr>
          <w:rFonts w:ascii="Times New Roman" w:eastAsia="Times New Roman" w:hAnsi="Times New Roman" w:cs="Times New Roman"/>
          <w:b/>
          <w:sz w:val="28"/>
          <w:szCs w:val="28"/>
          <w:lang w:eastAsia="ru-RU"/>
        </w:rPr>
      </w:pPr>
      <w:bookmarkStart w:id="9" w:name="_Toc480912880"/>
      <w:bookmarkStart w:id="10" w:name="_Toc480912883"/>
      <w:bookmarkEnd w:id="7"/>
      <w:r w:rsidRPr="00BA68B5">
        <w:rPr>
          <w:rFonts w:ascii="Times New Roman" w:eastAsia="Times New Roman" w:hAnsi="Times New Roman" w:cs="Times New Roman"/>
          <w:b/>
          <w:sz w:val="28"/>
          <w:szCs w:val="28"/>
          <w:lang w:eastAsia="ru-RU"/>
        </w:rPr>
        <w:t>Предприятия химического комплекса</w:t>
      </w:r>
    </w:p>
    <w:p w:rsidR="00F04898" w:rsidRPr="00BA68B5" w:rsidRDefault="00F04898" w:rsidP="00F04898">
      <w:pPr>
        <w:keepNext/>
        <w:keepLines/>
        <w:tabs>
          <w:tab w:val="left" w:pos="709"/>
        </w:tabs>
        <w:spacing w:after="0" w:line="240" w:lineRule="auto"/>
        <w:outlineLvl w:val="2"/>
        <w:rPr>
          <w:rFonts w:ascii="Times New Roman" w:eastAsia="Times New Roman" w:hAnsi="Times New Roman" w:cs="Times New Roman"/>
          <w:b/>
          <w:sz w:val="28"/>
          <w:szCs w:val="28"/>
          <w:lang w:eastAsia="ru-RU"/>
        </w:rPr>
      </w:pPr>
    </w:p>
    <w:p w:rsidR="00D52618" w:rsidRPr="00BA68B5" w:rsidRDefault="00D52618" w:rsidP="00D52618">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Средне-Поволжскому управлению Ростехнадзора поднадзорно 189 предприятий химического комплекса, эксплуатирующих опасные производственные объекты химического комплекса (далее – ОПО).</w:t>
      </w:r>
    </w:p>
    <w:p w:rsidR="00D52618" w:rsidRPr="00BA68B5" w:rsidRDefault="00D52618" w:rsidP="00D52618">
      <w:pPr>
        <w:spacing w:after="0" w:line="360" w:lineRule="auto"/>
        <w:ind w:firstLine="709"/>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Федеральный государственный надзор в области промышленной безопасности осуществляется в отношении 323 ОПО следующих классов опасности: I класс опасности - 23 ОПО; II класс опасности - 24 ОПО; III класс опасности - 219 ОПО; IV класс опасности - 57 ОПО.</w:t>
      </w:r>
    </w:p>
    <w:p w:rsidR="00D52618" w:rsidRPr="00BA68B5" w:rsidRDefault="00D52618" w:rsidP="00D52618">
      <w:pPr>
        <w:spacing w:after="0" w:line="360" w:lineRule="auto"/>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07576FC5" wp14:editId="4067884C">
            <wp:extent cx="6012180" cy="2994660"/>
            <wp:effectExtent l="0" t="0" r="2667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52618" w:rsidRPr="00BA68B5" w:rsidRDefault="00D52618" w:rsidP="00D52618">
      <w:pPr>
        <w:tabs>
          <w:tab w:val="left" w:pos="709"/>
          <w:tab w:val="left" w:pos="6495"/>
        </w:tabs>
        <w:spacing w:after="0" w:line="360" w:lineRule="auto"/>
        <w:ind w:firstLine="720"/>
        <w:jc w:val="both"/>
        <w:rPr>
          <w:rFonts w:ascii="Times New Roman" w:hAnsi="Times New Roman" w:cs="Times New Roman"/>
          <w:sz w:val="28"/>
          <w:szCs w:val="28"/>
        </w:rPr>
      </w:pPr>
      <w:r w:rsidRPr="00BA68B5">
        <w:rPr>
          <w:rFonts w:ascii="Times New Roman" w:eastAsia="Times New Roman" w:hAnsi="Times New Roman" w:cs="Times New Roman"/>
          <w:sz w:val="28"/>
          <w:szCs w:val="28"/>
          <w:lang w:eastAsia="ru-RU"/>
        </w:rPr>
        <w:t xml:space="preserve">К числу химически опасных поднадзорных производств и объектов относятся: </w:t>
      </w:r>
      <w:r w:rsidRPr="00BA68B5">
        <w:rPr>
          <w:rFonts w:ascii="Times New Roman" w:hAnsi="Times New Roman" w:cs="Times New Roman"/>
          <w:sz w:val="28"/>
          <w:szCs w:val="28"/>
        </w:rPr>
        <w:t>химические; системы водоподготовки; аммиачно-холодильные установки; объекты производства и потребления продуктов разделения воздуха, криогенно-вакуумной техники, обращения углекислоты (СО</w:t>
      </w:r>
      <w:r w:rsidRPr="00BA68B5">
        <w:rPr>
          <w:rFonts w:ascii="Times New Roman" w:hAnsi="Times New Roman" w:cs="Times New Roman"/>
          <w:sz w:val="28"/>
          <w:szCs w:val="28"/>
          <w:vertAlign w:val="subscript"/>
        </w:rPr>
        <w:t>2</w:t>
      </w:r>
      <w:r w:rsidRPr="00BA68B5">
        <w:rPr>
          <w:rFonts w:ascii="Times New Roman" w:hAnsi="Times New Roman" w:cs="Times New Roman"/>
          <w:sz w:val="28"/>
          <w:szCs w:val="28"/>
        </w:rPr>
        <w:t>) и инертных газов; спиртовые производства; маслоэкстракционные производства; склады и базы хранения и отгрузки химически опасных и взрывоопасных веществ других производств, связанных с обращением или хранением токсичных, взрывопожароопасных и других веществ, которые могут образовывать пылевоздушные или парогазовые смеси.</w:t>
      </w:r>
    </w:p>
    <w:p w:rsidR="00D52618" w:rsidRPr="00BA68B5" w:rsidRDefault="00D52618" w:rsidP="00D52618">
      <w:pPr>
        <w:tabs>
          <w:tab w:val="left" w:pos="720"/>
          <w:tab w:val="left" w:pos="6495"/>
        </w:tabs>
        <w:spacing w:after="0" w:line="360" w:lineRule="auto"/>
        <w:ind w:firstLine="720"/>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на объектах поднадзорных предприятий аварий зарегистрировано не было. Зарегистрирован 1 инцидент, несчастных случаев не зарегистрировано.</w:t>
      </w:r>
    </w:p>
    <w:p w:rsidR="00D52618" w:rsidRPr="00BA68B5" w:rsidRDefault="00D52618" w:rsidP="00D52618">
      <w:pPr>
        <w:tabs>
          <w:tab w:val="left" w:pos="720"/>
          <w:tab w:val="left" w:pos="6495"/>
        </w:tabs>
        <w:spacing w:after="0" w:line="360" w:lineRule="auto"/>
        <w:ind w:firstLine="720"/>
        <w:jc w:val="both"/>
        <w:rPr>
          <w:rFonts w:ascii="Times New Roman" w:hAnsi="Times New Roman" w:cs="Times New Roman"/>
          <w:sz w:val="28"/>
          <w:szCs w:val="28"/>
        </w:rPr>
      </w:pPr>
      <w:r w:rsidRPr="00BA68B5">
        <w:rPr>
          <w:rFonts w:ascii="Times New Roman" w:hAnsi="Times New Roman" w:cs="Times New Roman"/>
          <w:sz w:val="28"/>
          <w:szCs w:val="28"/>
        </w:rPr>
        <w:t>На поднадзорных предприятиях химического комплекса в 2020 году крупных техногенных аварий не зарегистрировано, террористические акты также не зафиксированы.</w:t>
      </w:r>
    </w:p>
    <w:p w:rsidR="00D52618" w:rsidRPr="00BA68B5" w:rsidRDefault="00D52618" w:rsidP="00D52618">
      <w:pPr>
        <w:tabs>
          <w:tab w:val="left" w:pos="6495"/>
        </w:tabs>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Средне-Поволжским управлением Ростехнадзора в течение 6 месяцев 2020 года проведено 58 проверок соблюдения требований промышленной безопасности при эксплуатации ОПО, в том числе 1 плановая проверка, в рамках режима постоянного государственного надзора – 32 проверки.</w:t>
      </w:r>
    </w:p>
    <w:p w:rsidR="00D52618" w:rsidRPr="00BA68B5" w:rsidRDefault="00D52618" w:rsidP="00D52618">
      <w:pPr>
        <w:tabs>
          <w:tab w:val="left" w:pos="6495"/>
        </w:tabs>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Проверок с привлечением представителей территориальных органов органами прокуратуры в течение 6 месяцев 2020 года не было.</w:t>
      </w:r>
    </w:p>
    <w:p w:rsidR="00D52618" w:rsidRPr="00BA68B5" w:rsidRDefault="00D52618" w:rsidP="00D52618">
      <w:pPr>
        <w:tabs>
          <w:tab w:val="left" w:pos="6495"/>
        </w:tabs>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За 6 месяцев 2020 года проведено 35 проверок, в результате проведения которых были выявлены правонарушения, из них плановых проверок – 1, внеплановых проверок – 14, в рамках режима постоянного государственного надзора – 20 проверки. </w:t>
      </w:r>
    </w:p>
    <w:p w:rsidR="00D52618" w:rsidRPr="00BA68B5" w:rsidRDefault="00D52618" w:rsidP="00D52618">
      <w:pPr>
        <w:tabs>
          <w:tab w:val="left" w:pos="6495"/>
        </w:tabs>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результате проведенных проверок за 6 месяцев 2020 году выявлено 872 нарушения требований промышленной безопасности, из них при проведении плановых проверок – 9, внеплановых проверок – 202, в рамках режима постоянного государственного надзора – 661.</w:t>
      </w:r>
    </w:p>
    <w:p w:rsidR="00D52618" w:rsidRPr="00BA68B5" w:rsidRDefault="00D52618" w:rsidP="00D52618">
      <w:pPr>
        <w:tabs>
          <w:tab w:val="left" w:pos="6495"/>
        </w:tabs>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Количество административных наказаний за 6 месяцев 2020 года, наложенных по итогам проверок, составило 69.</w:t>
      </w:r>
    </w:p>
    <w:p w:rsidR="00D52618" w:rsidRPr="00BA68B5" w:rsidRDefault="00D52618" w:rsidP="00D52618">
      <w:pPr>
        <w:tabs>
          <w:tab w:val="left" w:pos="6495"/>
        </w:tabs>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Общая сумма наложенных административных штрафов за 6 месяцев 2020 года составила 9966 тыс. рублей, в том числе наложенных на юридических лиц – 9190 тыс. рублей, на должностных лиц –776 тыс. рублей. </w:t>
      </w:r>
    </w:p>
    <w:p w:rsidR="00D52618" w:rsidRPr="00BA68B5" w:rsidRDefault="00D52618" w:rsidP="00D52618">
      <w:pPr>
        <w:tabs>
          <w:tab w:val="left" w:pos="6495"/>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Общая сумма уплаченных (взысканных) административных штрафов за 6 месяцев 2020 года составила 3917 тыс. рублей.</w:t>
      </w:r>
    </w:p>
    <w:p w:rsidR="00D52618" w:rsidRPr="00BA68B5" w:rsidRDefault="00D52618" w:rsidP="00D52618">
      <w:pPr>
        <w:tabs>
          <w:tab w:val="left" w:pos="6495"/>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 xml:space="preserve">За 6 месяцев 2020 года по фактам выявленных нарушений материалы проверок в правоохранительные органы для возбуждения уголовного дела (принятия мер прокурорского реагирования) дела не передавалась. </w:t>
      </w:r>
    </w:p>
    <w:p w:rsidR="00D52618" w:rsidRPr="00BA68B5" w:rsidRDefault="00D52618" w:rsidP="00D52618">
      <w:pPr>
        <w:tabs>
          <w:tab w:val="left" w:pos="6495"/>
        </w:tabs>
        <w:spacing w:before="100" w:beforeAutospacing="1" w:after="100" w:afterAutospacing="1" w:line="360" w:lineRule="auto"/>
        <w:ind w:firstLine="708"/>
        <w:contextualSpacing/>
        <w:jc w:val="both"/>
        <w:rPr>
          <w:rFonts w:ascii="Times New Roman" w:hAnsi="Times New Roman"/>
          <w:sz w:val="28"/>
          <w:szCs w:val="28"/>
        </w:rPr>
      </w:pPr>
      <w:r w:rsidRPr="00BA68B5">
        <w:rPr>
          <w:rFonts w:ascii="Times New Roman" w:hAnsi="Times New Roman"/>
          <w:sz w:val="28"/>
          <w:szCs w:val="28"/>
        </w:rPr>
        <w:t>При проведении контрольно-надзорных мероприятий на предприятиях химического комплекса выявлены следующие характерные нарушения:</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sz w:val="28"/>
          <w:szCs w:val="28"/>
        </w:rPr>
      </w:pPr>
      <w:r w:rsidRPr="00BA68B5">
        <w:rPr>
          <w:rFonts w:ascii="Times New Roman" w:hAnsi="Times New Roman"/>
          <w:sz w:val="28"/>
          <w:szCs w:val="28"/>
        </w:rPr>
        <w:t>Организация, осуществляющая эксплуатацию оборудования под давлением, не обеспечила содержание оборудования под давлением в исправном состоянии и безопасные условия его эксплуатации: не обеспечено проведение работ по техническому освидетельствованию, техническому диагностированию, гидравлического испытания.</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cs="Times New Roman"/>
          <w:bCs/>
          <w:sz w:val="28"/>
          <w:szCs w:val="28"/>
        </w:rPr>
      </w:pPr>
      <w:r w:rsidRPr="00BA68B5">
        <w:rPr>
          <w:rFonts w:ascii="Times New Roman" w:hAnsi="Times New Roman" w:cs="Times New Roman"/>
          <w:bCs/>
          <w:sz w:val="28"/>
          <w:szCs w:val="28"/>
        </w:rPr>
        <w:t>Не обеспечивается проведение экспертизы промышленной безопасности зданий и сооружений, предназначенных для осуществления технологических процессов.</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Не оборудованы системами двусторонней громкоговорящей и телефонной связи технологические блоки опасных производственных объектов;</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Не обеспечен автоматический контроль за содержанием паров серной кислоты в воздухе рабочей зоны с сигнализацией превышения ПДК.</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Не обеспечивается необходимая степень герметичности разъемных соединений в течение межремонтного периода эксплуатации технологической системы.</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 xml:space="preserve">Отсутствует тепловая изоляция оборудования, работающего </w:t>
      </w:r>
      <w:r w:rsidRPr="00BA68B5">
        <w:rPr>
          <w:rFonts w:ascii="Times New Roman" w:hAnsi="Times New Roman" w:cs="Times New Roman"/>
          <w:sz w:val="28"/>
          <w:szCs w:val="28"/>
        </w:rPr>
        <w:br/>
        <w:t>под избыточным давлением.</w:t>
      </w:r>
    </w:p>
    <w:p w:rsidR="00D52618" w:rsidRPr="00BA68B5" w:rsidRDefault="00D52618" w:rsidP="00D52618">
      <w:pPr>
        <w:tabs>
          <w:tab w:val="left" w:pos="6495"/>
        </w:tabs>
        <w:spacing w:before="100" w:beforeAutospacing="1" w:after="100" w:afterAutospacing="1" w:line="360" w:lineRule="auto"/>
        <w:ind w:firstLine="709"/>
        <w:contextualSpacing/>
        <w:jc w:val="both"/>
        <w:rPr>
          <w:rFonts w:ascii="Times New Roman" w:hAnsi="Times New Roman" w:cs="Times New Roman"/>
          <w:sz w:val="28"/>
          <w:szCs w:val="28"/>
        </w:rPr>
      </w:pPr>
      <w:r w:rsidRPr="00BA68B5">
        <w:rPr>
          <w:rFonts w:ascii="Times New Roman" w:hAnsi="Times New Roman" w:cs="Times New Roman"/>
          <w:sz w:val="28"/>
          <w:szCs w:val="28"/>
        </w:rPr>
        <w:t>Ведение технологического процесса осуществляется с нарушением требований постоянного технологического регламента.</w:t>
      </w:r>
    </w:p>
    <w:p w:rsidR="00E97141" w:rsidRPr="00BA68B5" w:rsidRDefault="00E97141" w:rsidP="00B61741">
      <w:pPr>
        <w:pStyle w:val="affe"/>
      </w:pPr>
    </w:p>
    <w:p w:rsidR="00E65E19" w:rsidRPr="00BA68B5" w:rsidRDefault="00E65E19" w:rsidP="00E65E19">
      <w:pPr>
        <w:tabs>
          <w:tab w:val="left" w:pos="709"/>
        </w:tabs>
        <w:jc w:val="center"/>
        <w:rPr>
          <w:rFonts w:ascii="Times New Roman" w:hAnsi="Times New Roman" w:cs="Times New Roman"/>
          <w:b/>
          <w:sz w:val="28"/>
          <w:szCs w:val="28"/>
        </w:rPr>
      </w:pPr>
      <w:r w:rsidRPr="00BA68B5">
        <w:rPr>
          <w:rFonts w:ascii="Times New Roman" w:hAnsi="Times New Roman" w:cs="Times New Roman"/>
          <w:b/>
          <w:sz w:val="28"/>
          <w:szCs w:val="28"/>
        </w:rPr>
        <w:t>Транспортирование опасных веществ</w:t>
      </w:r>
    </w:p>
    <w:p w:rsidR="00D52618" w:rsidRPr="00BA68B5" w:rsidRDefault="00D52618" w:rsidP="00D52618">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К числу объектов транспортирования опасных веществ относятся:</w:t>
      </w:r>
    </w:p>
    <w:p w:rsidR="00D52618" w:rsidRPr="00BA68B5" w:rsidRDefault="00D52618" w:rsidP="00D52618">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автомобильные транспортные средства (специально оборудованные грузовые автомобили, автоцистерны, тягачи, прицепы и полуприцепы для перевозки нефтепродуктов, сжиженных углеводородных газов, взрывчатых материалов и других опасных веществ);</w:t>
      </w:r>
    </w:p>
    <w:p w:rsidR="00D52618" w:rsidRPr="00BA68B5" w:rsidRDefault="00D52618" w:rsidP="00D52618">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железнодорожные вагоны-цистерны, контейнеры, баллоны, используемые в качестве тары для транспортировки легковоспламеняющихся жидкостей (бензин, дизельное топливо, метанол и другие), газы сжатые, сжиженные и растворенные под давлением (хлор, аммиак), а также другие опасные вещества; </w:t>
      </w:r>
    </w:p>
    <w:p w:rsidR="00D52618" w:rsidRPr="00BA68B5" w:rsidRDefault="00D52618" w:rsidP="00D52618">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железнодорожные пути и автомобильные дороги необщего пользования, железнодорожные переезды и стрелочные переводы, пункты погрузки-выгрузки опасных веществ.</w:t>
      </w:r>
    </w:p>
    <w:p w:rsidR="00D52618" w:rsidRPr="00BA68B5" w:rsidRDefault="00D52618" w:rsidP="00D52618">
      <w:pPr>
        <w:tabs>
          <w:tab w:val="left" w:pos="709"/>
        </w:tabs>
        <w:spacing w:after="0" w:line="360" w:lineRule="auto"/>
        <w:ind w:firstLine="709"/>
        <w:jc w:val="both"/>
        <w:rPr>
          <w:rFonts w:ascii="Times New Roman" w:hAnsi="Times New Roman" w:cs="Times New Roman"/>
          <w:bCs/>
          <w:sz w:val="28"/>
          <w:szCs w:val="28"/>
        </w:rPr>
      </w:pPr>
      <w:r w:rsidRPr="00BA68B5">
        <w:rPr>
          <w:rFonts w:ascii="Times New Roman" w:eastAsia="Times New Roman" w:hAnsi="Times New Roman" w:cs="Times New Roman"/>
          <w:sz w:val="28"/>
          <w:szCs w:val="28"/>
          <w:lang w:eastAsia="ru-RU"/>
        </w:rPr>
        <w:t xml:space="preserve">Средне-Поволжскому управлению Ростехнадзора поднадзорны 35 предприятий, эксплуатирующих 42 опасных производственных объекта, в том числе </w:t>
      </w:r>
      <w:r w:rsidRPr="00BA68B5">
        <w:rPr>
          <w:rFonts w:ascii="Times New Roman" w:eastAsia="Times New Roman" w:hAnsi="Times New Roman" w:cs="Times New Roman"/>
          <w:sz w:val="28"/>
          <w:szCs w:val="28"/>
          <w:lang w:val="en-US" w:eastAsia="ru-RU"/>
        </w:rPr>
        <w:t>II</w:t>
      </w:r>
      <w:r w:rsidRPr="00BA68B5">
        <w:rPr>
          <w:rFonts w:ascii="Times New Roman" w:eastAsia="Times New Roman" w:hAnsi="Times New Roman" w:cs="Times New Roman"/>
          <w:sz w:val="28"/>
          <w:szCs w:val="28"/>
          <w:lang w:eastAsia="ru-RU"/>
        </w:rPr>
        <w:t xml:space="preserve"> класса опасности - 1 ОПО, </w:t>
      </w:r>
      <w:r w:rsidRPr="00BA68B5">
        <w:rPr>
          <w:rFonts w:ascii="Times New Roman" w:eastAsia="Times New Roman" w:hAnsi="Times New Roman" w:cs="Times New Roman"/>
          <w:sz w:val="28"/>
          <w:szCs w:val="28"/>
          <w:lang w:val="en-US" w:eastAsia="ru-RU"/>
        </w:rPr>
        <w:t>III</w:t>
      </w:r>
      <w:r w:rsidRPr="00BA68B5">
        <w:rPr>
          <w:rFonts w:ascii="Times New Roman" w:eastAsia="Times New Roman" w:hAnsi="Times New Roman" w:cs="Times New Roman"/>
          <w:sz w:val="28"/>
          <w:szCs w:val="28"/>
          <w:lang w:eastAsia="ru-RU"/>
        </w:rPr>
        <w:t xml:space="preserve"> класса опасности - 35 ОПО, </w:t>
      </w:r>
      <w:r w:rsidRPr="00BA68B5">
        <w:rPr>
          <w:rFonts w:ascii="Times New Roman" w:eastAsia="Times New Roman" w:hAnsi="Times New Roman" w:cs="Times New Roman"/>
          <w:sz w:val="28"/>
          <w:szCs w:val="28"/>
          <w:lang w:val="en-US" w:eastAsia="ru-RU"/>
        </w:rPr>
        <w:t>IV</w:t>
      </w:r>
      <w:r w:rsidRPr="00BA68B5">
        <w:rPr>
          <w:rFonts w:ascii="Times New Roman" w:eastAsia="Times New Roman" w:hAnsi="Times New Roman" w:cs="Times New Roman"/>
          <w:sz w:val="28"/>
          <w:szCs w:val="28"/>
          <w:lang w:eastAsia="ru-RU"/>
        </w:rPr>
        <w:t xml:space="preserve"> класса опасности - 6 ОПО</w:t>
      </w:r>
      <w:r w:rsidRPr="00BA68B5">
        <w:rPr>
          <w:rFonts w:ascii="Times New Roman" w:hAnsi="Times New Roman" w:cs="Times New Roman"/>
          <w:bCs/>
          <w:sz w:val="28"/>
          <w:szCs w:val="28"/>
        </w:rPr>
        <w:t>.</w:t>
      </w:r>
    </w:p>
    <w:p w:rsidR="00D52618" w:rsidRPr="00BA68B5" w:rsidRDefault="00D52618" w:rsidP="00B61741">
      <w:pPr>
        <w:spacing w:after="0" w:line="360" w:lineRule="auto"/>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5EE49A22" wp14:editId="02F9F1FB">
            <wp:extent cx="6118167" cy="3333404"/>
            <wp:effectExtent l="0" t="0" r="16510" b="196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52618" w:rsidRPr="00BA68B5" w:rsidRDefault="00D52618" w:rsidP="00D52618">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Состояние промышленной безопасности на поднадзорных предприятиях, осуществляющих транспортирование опасных веществ, удовлетворительное. Аварии и смертельные несчастные случаи за 6 месяцев 2020 года не зафиксированы.</w:t>
      </w:r>
    </w:p>
    <w:p w:rsidR="00D52618" w:rsidRPr="00BA68B5" w:rsidRDefault="00D52618" w:rsidP="00D52618">
      <w:pPr>
        <w:tabs>
          <w:tab w:val="num" w:pos="0"/>
        </w:tabs>
        <w:spacing w:after="0" w:line="360" w:lineRule="auto"/>
        <w:ind w:firstLine="709"/>
        <w:jc w:val="both"/>
        <w:rPr>
          <w:rFonts w:ascii="Times New Roman" w:eastAsia="Times New Roman" w:hAnsi="Times New Roman"/>
          <w:sz w:val="28"/>
          <w:szCs w:val="28"/>
          <w:lang w:eastAsia="ru-RU"/>
        </w:rPr>
      </w:pPr>
      <w:r w:rsidRPr="00BA68B5">
        <w:rPr>
          <w:rFonts w:ascii="Times New Roman" w:eastAsia="Times New Roman" w:hAnsi="Times New Roman"/>
          <w:sz w:val="28"/>
          <w:szCs w:val="28"/>
          <w:lang w:eastAsia="ru-RU"/>
        </w:rPr>
        <w:t xml:space="preserve">За 6 месяцев 2020 года деятельность организаций, эксплуатирующих опасные производственные объекты, связанные с транспортированием опасных веществ по повышению состояния промышленной безопасности, по сравнению с прошлым годом не значительно, но улучшилась, а именно: взамен морально устаревших и изношенных технических устройств, систем контроля и автоматизации всё чаще устанавливаются современные технические устройства и оборудование, также руководством организаций больше внимания стало уделяться организации и осуществлению производственного контроля за состоянием требований промышленной безопасности на опасных производственных объектах эксплуатируемых организациями. </w:t>
      </w:r>
    </w:p>
    <w:p w:rsidR="00D52618" w:rsidRPr="00BA68B5" w:rsidRDefault="00D52618" w:rsidP="00D52618">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A68B5">
        <w:rPr>
          <w:rFonts w:ascii="Times New Roman" w:eastAsia="Times New Roman" w:hAnsi="Times New Roman"/>
          <w:sz w:val="28"/>
          <w:szCs w:val="28"/>
          <w:lang w:eastAsia="ru-RU"/>
        </w:rPr>
        <w:t xml:space="preserve">В отчетном периоде технического перевооружения и реконструкции поднадзорных опасных производственных объектов, связанных с транспортированием опасных веществ железнодорожным транспортом не проводилось. </w:t>
      </w:r>
    </w:p>
    <w:p w:rsidR="00D52618" w:rsidRPr="00BA68B5" w:rsidRDefault="00D52618" w:rsidP="00D52618">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Средне-Поволжским управлением Ростехнадзора за 6 месяцев 2020 года проверки соблюдения требований промышленной безопасности при эксплуатации опасных производственных объектов транспортирования не проводились.</w:t>
      </w:r>
    </w:p>
    <w:p w:rsidR="004A2803" w:rsidRPr="00BA68B5" w:rsidRDefault="004A2803" w:rsidP="00BA3CE9">
      <w:pPr>
        <w:pStyle w:val="affe"/>
        <w:rPr>
          <w:rFonts w:ascii="Times New Roman" w:hAnsi="Times New Roman"/>
          <w:sz w:val="28"/>
          <w:szCs w:val="28"/>
          <w:lang w:eastAsia="ru-RU"/>
        </w:rPr>
      </w:pPr>
    </w:p>
    <w:p w:rsidR="002858E9" w:rsidRPr="00BA68B5" w:rsidRDefault="002858E9" w:rsidP="004D4302">
      <w:pPr>
        <w:keepNext/>
        <w:keepLines/>
        <w:tabs>
          <w:tab w:val="left" w:pos="709"/>
        </w:tabs>
        <w:spacing w:after="0" w:line="240" w:lineRule="auto"/>
        <w:jc w:val="center"/>
        <w:outlineLvl w:val="2"/>
        <w:rPr>
          <w:rFonts w:ascii="Times New Roman" w:eastAsia="Times New Roman" w:hAnsi="Times New Roman" w:cs="Times New Roman"/>
          <w:b/>
          <w:color w:val="000000"/>
          <w:sz w:val="28"/>
          <w:szCs w:val="28"/>
          <w:lang w:eastAsia="ru-RU"/>
        </w:rPr>
      </w:pPr>
      <w:r w:rsidRPr="00BA68B5">
        <w:rPr>
          <w:rFonts w:ascii="Times New Roman" w:eastAsia="Times New Roman" w:hAnsi="Times New Roman" w:cs="Times New Roman"/>
          <w:b/>
          <w:color w:val="000000"/>
          <w:sz w:val="28"/>
          <w:szCs w:val="28"/>
          <w:lang w:eastAsia="ru-RU"/>
        </w:rPr>
        <w:t xml:space="preserve">Производство, хранение и применение взрывчатых материалов промышленного назначения, за исключением предприятий </w:t>
      </w:r>
    </w:p>
    <w:p w:rsidR="002858E9" w:rsidRPr="00BA68B5" w:rsidRDefault="002858E9" w:rsidP="004D4302">
      <w:pPr>
        <w:keepNext/>
        <w:keepLines/>
        <w:tabs>
          <w:tab w:val="left" w:pos="709"/>
        </w:tabs>
        <w:spacing w:after="0" w:line="240" w:lineRule="auto"/>
        <w:jc w:val="center"/>
        <w:outlineLvl w:val="2"/>
        <w:rPr>
          <w:rFonts w:ascii="Times New Roman" w:eastAsia="Times New Roman" w:hAnsi="Times New Roman" w:cs="Times New Roman"/>
          <w:b/>
          <w:color w:val="000000"/>
          <w:sz w:val="28"/>
          <w:szCs w:val="28"/>
          <w:lang w:eastAsia="ru-RU"/>
        </w:rPr>
      </w:pPr>
      <w:r w:rsidRPr="00BA68B5">
        <w:rPr>
          <w:rFonts w:ascii="Times New Roman" w:eastAsia="Times New Roman" w:hAnsi="Times New Roman" w:cs="Times New Roman"/>
          <w:b/>
          <w:color w:val="000000"/>
          <w:sz w:val="28"/>
          <w:szCs w:val="28"/>
          <w:lang w:eastAsia="ru-RU"/>
        </w:rPr>
        <w:t>оборонно-промышленного комплекса</w:t>
      </w:r>
    </w:p>
    <w:p w:rsidR="00F04898" w:rsidRPr="00BA68B5" w:rsidRDefault="00F04898" w:rsidP="004D4302">
      <w:pPr>
        <w:keepNext/>
        <w:keepLines/>
        <w:tabs>
          <w:tab w:val="left" w:pos="709"/>
        </w:tabs>
        <w:spacing w:after="0" w:line="240" w:lineRule="auto"/>
        <w:jc w:val="center"/>
        <w:outlineLvl w:val="2"/>
        <w:rPr>
          <w:rFonts w:ascii="Times New Roman" w:eastAsia="Times New Roman" w:hAnsi="Times New Roman" w:cs="Times New Roman"/>
          <w:b/>
          <w:color w:val="000000"/>
          <w:sz w:val="28"/>
          <w:szCs w:val="28"/>
          <w:lang w:eastAsia="ru-RU"/>
        </w:rPr>
      </w:pPr>
    </w:p>
    <w:p w:rsidR="00BB6689" w:rsidRPr="00BA68B5" w:rsidRDefault="00BB6689" w:rsidP="00BB6689">
      <w:pPr>
        <w:spacing w:after="0" w:line="360" w:lineRule="auto"/>
        <w:ind w:firstLine="709"/>
        <w:jc w:val="both"/>
        <w:rPr>
          <w:rFonts w:ascii="Times New Roman" w:hAnsi="Times New Roman" w:cs="Times New Roman"/>
          <w:bCs/>
          <w:sz w:val="28"/>
          <w:szCs w:val="28"/>
        </w:rPr>
      </w:pPr>
      <w:r w:rsidRPr="00BA68B5">
        <w:rPr>
          <w:rFonts w:ascii="Times New Roman" w:hAnsi="Times New Roman" w:cs="Times New Roman"/>
          <w:bCs/>
          <w:sz w:val="28"/>
          <w:szCs w:val="28"/>
        </w:rPr>
        <w:t>В течение 6 месяцев 2020 года федеральный государственный надзор в области промышленной безопасности осуществлялся в отношении 36 опасных производственных объектов производства, хранения, применения взрывчатых материалов промышленного назначения.</w:t>
      </w:r>
    </w:p>
    <w:p w:rsidR="00BB6689" w:rsidRPr="00BA68B5" w:rsidRDefault="00BB6689" w:rsidP="00BB6689">
      <w:pPr>
        <w:tabs>
          <w:tab w:val="left" w:pos="709"/>
        </w:tabs>
        <w:spacing w:after="0" w:line="360" w:lineRule="auto"/>
        <w:jc w:val="center"/>
        <w:rPr>
          <w:rFonts w:ascii="Times New Roman" w:eastAsia="Times New Roman" w:hAnsi="Times New Roman" w:cs="Times New Roman"/>
          <w:sz w:val="28"/>
          <w:szCs w:val="28"/>
          <w:lang w:eastAsia="ru-RU"/>
        </w:rPr>
      </w:pPr>
      <w:r w:rsidRPr="00BA68B5">
        <w:rPr>
          <w:noProof/>
          <w:lang w:eastAsia="ru-RU"/>
        </w:rPr>
        <w:drawing>
          <wp:inline distT="0" distB="0" distL="0" distR="0" wp14:anchorId="49C4E5AD" wp14:editId="21AC003C">
            <wp:extent cx="5752407" cy="2128058"/>
            <wp:effectExtent l="0" t="0" r="20320"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6689" w:rsidRPr="00BA68B5" w:rsidRDefault="00BB6689" w:rsidP="00BB6689">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на опасных производственных объектах </w:t>
      </w:r>
      <w:r w:rsidRPr="00BA68B5">
        <w:rPr>
          <w:rFonts w:ascii="Times New Roman" w:hAnsi="Times New Roman" w:cs="Times New Roman"/>
          <w:bCs/>
          <w:sz w:val="28"/>
          <w:szCs w:val="28"/>
        </w:rPr>
        <w:t>производства, хранения, применения взрывчатых материалов промышленного назначения</w:t>
      </w:r>
      <w:r w:rsidRPr="00BA68B5">
        <w:rPr>
          <w:rFonts w:ascii="Times New Roman" w:eastAsia="Times New Roman" w:hAnsi="Times New Roman" w:cs="Times New Roman"/>
          <w:sz w:val="28"/>
          <w:szCs w:val="28"/>
          <w:lang w:eastAsia="ru-RU"/>
        </w:rPr>
        <w:t xml:space="preserve"> аварии отсутствовали. Несчастных случаев, в том числе со смертельным исходом, в указанный период не было. </w:t>
      </w:r>
    </w:p>
    <w:p w:rsidR="00BB6689" w:rsidRPr="00BA68B5" w:rsidRDefault="00BB6689" w:rsidP="00BB6689">
      <w:pPr>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Уровень контроля со стороны руководителей взрывных работ </w:t>
      </w:r>
      <w:r w:rsidRPr="00BA68B5">
        <w:rPr>
          <w:rFonts w:ascii="Times New Roman" w:hAnsi="Times New Roman" w:cs="Times New Roman"/>
          <w:sz w:val="28"/>
          <w:szCs w:val="28"/>
        </w:rPr>
        <w:br/>
        <w:t xml:space="preserve">за процессами подготовки и производства взрывных работ, а также </w:t>
      </w:r>
      <w:r w:rsidRPr="00BA68B5">
        <w:rPr>
          <w:rFonts w:ascii="Times New Roman" w:hAnsi="Times New Roman" w:cs="Times New Roman"/>
          <w:sz w:val="28"/>
          <w:szCs w:val="28"/>
        </w:rPr>
        <w:br/>
        <w:t>за соблюдением требований безопасности при хранении взрывчатых материалов на местах работ остается на прежнем высоком уровне.</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В результате проведенных проверок выявлено 18 нарушения требований промышленной безопасности. </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Количество административных наказаний за 6 месяцев 2020 года составило 1. </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Общая сумма административных штрафов на должностных лиц составила 20 тыс. рублей. </w:t>
      </w:r>
    </w:p>
    <w:p w:rsidR="00BB6689" w:rsidRPr="00BA68B5" w:rsidRDefault="00BB6689" w:rsidP="00BB6689">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Характерными нарушениями промышленной безопасности на предприятиях, эксплуатирующих опасные производственные объекты производства, хранения, применения взрывчатых материалов промышленного назначения, являются: </w:t>
      </w:r>
    </w:p>
    <w:p w:rsidR="00BB6689" w:rsidRPr="00BA68B5" w:rsidRDefault="00BB6689" w:rsidP="00BB6689">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эксплуатация зданий, сооружений и технических устройств с истекшим установленным сроком эксплуатации и (или) с нарушением нормативных требований;</w:t>
      </w:r>
    </w:p>
    <w:p w:rsidR="00BB6689" w:rsidRPr="00BA68B5" w:rsidRDefault="00BB6689" w:rsidP="00BB6689">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нарушения требований безопасности при эксплуатации электрооборудования, установленного во взрывоопасных зонах;</w:t>
      </w:r>
    </w:p>
    <w:p w:rsidR="00BB6689" w:rsidRPr="00BA68B5" w:rsidRDefault="00BB6689" w:rsidP="00BB6689">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неполная готовность предприятий к действиям по локализации </w:t>
      </w:r>
      <w:r w:rsidRPr="00BA68B5">
        <w:rPr>
          <w:rFonts w:ascii="Times New Roman" w:eastAsia="Times New Roman" w:hAnsi="Times New Roman" w:cs="Times New Roman"/>
          <w:sz w:val="28"/>
          <w:szCs w:val="28"/>
          <w:lang w:eastAsia="ru-RU"/>
        </w:rPr>
        <w:br/>
        <w:t>и ликвидации аварий.</w:t>
      </w:r>
    </w:p>
    <w:p w:rsidR="00BB6689" w:rsidRPr="00BA68B5" w:rsidRDefault="00BB6689" w:rsidP="00BB6689">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ходе проведенных проверок установлено, что отдельные руководители и специалисты, эксплуатирующие ОПО, не прошли аттестацию в области промышленной безопасности, в ряде случаев отмечена недостаточная профессиональная подготовка персонала, обслуживающего сооружения и технические устройства.</w:t>
      </w:r>
    </w:p>
    <w:p w:rsidR="00341073" w:rsidRPr="00BA68B5" w:rsidRDefault="00341073" w:rsidP="004D4302">
      <w:pPr>
        <w:keepNext/>
        <w:keepLines/>
        <w:tabs>
          <w:tab w:val="left" w:pos="709"/>
        </w:tabs>
        <w:spacing w:before="120" w:after="120" w:line="240" w:lineRule="auto"/>
        <w:jc w:val="center"/>
        <w:outlineLvl w:val="2"/>
        <w:rPr>
          <w:rFonts w:ascii="Times New Roman" w:eastAsia="Times New Roman" w:hAnsi="Times New Roman" w:cs="Times New Roman"/>
          <w:b/>
          <w:color w:val="000000"/>
          <w:sz w:val="28"/>
          <w:szCs w:val="28"/>
          <w:lang w:eastAsia="ru-RU"/>
        </w:rPr>
      </w:pPr>
      <w:r w:rsidRPr="00BA68B5">
        <w:rPr>
          <w:rFonts w:ascii="Times New Roman" w:eastAsia="Times New Roman" w:hAnsi="Times New Roman" w:cs="Times New Roman"/>
          <w:b/>
          <w:color w:val="000000"/>
          <w:sz w:val="28"/>
          <w:szCs w:val="28"/>
          <w:lang w:eastAsia="ru-RU"/>
        </w:rPr>
        <w:t>Предприятия оборонно-промышленного комплекса</w:t>
      </w:r>
    </w:p>
    <w:p w:rsidR="00405900" w:rsidRPr="00BA68B5" w:rsidRDefault="00405900" w:rsidP="00BA3CE9">
      <w:pPr>
        <w:pStyle w:val="affe"/>
      </w:pPr>
    </w:p>
    <w:p w:rsidR="00BB6689" w:rsidRPr="00BA68B5" w:rsidRDefault="00BB6689" w:rsidP="00BB6689">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К поднадзорным опасным производственным объектам оборонно-промышленного комплекса относятся объекты производства взрывчатых веществ, порохов и изделий, их содержащих, снаряжения и утилизации боеприпасов, ракет и их составных частей, объекты ракетно-космической деятельности, на которых обращаются опасные вещества.</w:t>
      </w:r>
    </w:p>
    <w:p w:rsidR="00BB6689" w:rsidRPr="00BA68B5" w:rsidRDefault="00BB6689" w:rsidP="00BB6689">
      <w:pPr>
        <w:tabs>
          <w:tab w:val="left" w:pos="709"/>
        </w:tabs>
        <w:spacing w:after="0" w:line="360" w:lineRule="auto"/>
        <w:ind w:firstLine="72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В течение 6 месяцев 2020 года под государственным контролем Средне-Поволжского управления Ростехнадзора находилось 14 предприятий оборонно-промышленного комплекса, эксплуатирующих данные опасные производственные объекты</w:t>
      </w:r>
      <w:r w:rsidRPr="00BA68B5">
        <w:rPr>
          <w:rFonts w:ascii="Times New Roman" w:hAnsi="Times New Roman" w:cs="Times New Roman"/>
          <w:bCs/>
          <w:sz w:val="28"/>
          <w:szCs w:val="28"/>
        </w:rPr>
        <w:t>.</w:t>
      </w:r>
    </w:p>
    <w:p w:rsidR="00BB6689" w:rsidRPr="00BA68B5" w:rsidRDefault="00BB6689" w:rsidP="00BB6689">
      <w:pPr>
        <w:tabs>
          <w:tab w:val="left" w:pos="709"/>
        </w:tabs>
        <w:spacing w:after="0" w:line="360" w:lineRule="auto"/>
        <w:ind w:firstLine="720"/>
        <w:jc w:val="both"/>
        <w:rPr>
          <w:rFonts w:ascii="Times New Roman" w:eastAsia="Calibri"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на опасных производственных объектах оборонно-промышленного комплекса аварий и несчастных случаев со смертельным исходом </w:t>
      </w:r>
      <w:r w:rsidRPr="00BA68B5">
        <w:rPr>
          <w:rFonts w:ascii="Times New Roman" w:eastAsia="Calibri" w:hAnsi="Times New Roman" w:cs="Times New Roman"/>
          <w:sz w:val="28"/>
          <w:szCs w:val="28"/>
          <w:lang w:eastAsia="ru-RU"/>
        </w:rPr>
        <w:t xml:space="preserve">не зафиксировано. </w:t>
      </w:r>
    </w:p>
    <w:p w:rsidR="00BB6689" w:rsidRPr="00BA68B5" w:rsidRDefault="00BB6689" w:rsidP="00BB6689">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К основным причинам аварийности и травматизма на объектах оборонно-промышленного комплекса относится недостаточно высокий производственный контроль, который в отдельных случаях осуществляется формально, не исключает очевидные предпосылки возникновения аварийных ситуаций, а также недостаточный уровень квалификации работников.</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Средне-Поволжским управлением Ростехнадзора в течение 6 месяцев 2020 года проведена 31 проверка юридических лиц соблюдения требований промышленной безопасности при эксплуатации опасных производственных объектов.</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том числе принято участие в проведении 24 проверок с привлечением представителей Средне-Поволжского управления Ростехнадзора органами прокуратуры.</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В результате проведенных проверок выявлено 102 нарушений требований промышленной безопасности.  </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Количество административных наказаний, наложенных по итогам проверок, составило 9.</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Общая сумма наложенных административных штрафов на должностных лиц составила 180 тыс. рублей. </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Общая сумма наложенных административных штрафов на </w:t>
      </w:r>
      <w:r w:rsidR="001F3455" w:rsidRPr="00BA68B5">
        <w:rPr>
          <w:rFonts w:ascii="Times New Roman" w:hAnsi="Times New Roman" w:cs="Times New Roman"/>
          <w:sz w:val="28"/>
          <w:szCs w:val="28"/>
        </w:rPr>
        <w:t>юридических</w:t>
      </w:r>
      <w:r w:rsidRPr="00BA68B5">
        <w:rPr>
          <w:rFonts w:ascii="Times New Roman" w:hAnsi="Times New Roman" w:cs="Times New Roman"/>
          <w:sz w:val="28"/>
          <w:szCs w:val="28"/>
        </w:rPr>
        <w:t xml:space="preserve"> лиц составила 620 тыс. рублей.</w:t>
      </w:r>
    </w:p>
    <w:p w:rsidR="00BB6689" w:rsidRPr="00BA68B5" w:rsidRDefault="00BB6689" w:rsidP="00BB6689">
      <w:pPr>
        <w:autoSpaceDE w:val="0"/>
        <w:autoSpaceDN w:val="0"/>
        <w:adjustRightInd w:val="0"/>
        <w:spacing w:after="0" w:line="360" w:lineRule="auto"/>
        <w:ind w:firstLine="851"/>
        <w:jc w:val="both"/>
        <w:rPr>
          <w:rFonts w:ascii="Times New Roman" w:hAnsi="Times New Roman" w:cs="Times New Roman"/>
          <w:sz w:val="28"/>
          <w:szCs w:val="28"/>
        </w:rPr>
      </w:pPr>
      <w:r w:rsidRPr="00BA68B5">
        <w:rPr>
          <w:rFonts w:ascii="Times New Roman" w:hAnsi="Times New Roman" w:cs="Times New Roman"/>
          <w:sz w:val="28"/>
          <w:szCs w:val="28"/>
        </w:rPr>
        <w:t>В ходе обобщения и анализа правоприменительной практики установлены наиболее часто встречаемые нарушения обязательных требований, в том числе:</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эксплуатация зданий, сооружений и технических устройств с истекшим установленным сроком эксплуатации и (или) с нарушением нормативных требований;</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нарушения требований безопасности при эксплуатации электрооборудования, установленного во взрывоопасных зонах;</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 xml:space="preserve">неполная готовность предприятий к действиям по локализации </w:t>
      </w:r>
      <w:r w:rsidRPr="00BA68B5">
        <w:rPr>
          <w:rFonts w:ascii="Times New Roman" w:hAnsi="Times New Roman" w:cs="Times New Roman"/>
          <w:sz w:val="28"/>
          <w:szCs w:val="28"/>
        </w:rPr>
        <w:br/>
        <w:t>и ликвидации аварий;</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отдельные руководители и специалисты, эксплуатирующие ОПО, не прошли аттестацию в области промышленной безопасности, в ряде случаев отмечена недостаточная профессиональная подготовка обслуживающего сооружения и технические устройства персонала.</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Большинство выявленных нарушений возникают по причине:</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слабого производственного контроля со стороны самих предприятий;</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слабой подготовки кадров рабочих профессий и специалистов в учебных учреждениях;</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эксплуатации старых, много раз продленных экспертизами промышленной безопасности зданий, сооружений, оборудования;</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недостаточного количества госпрограмм по реконструкции предприятий, внедрению новых технологий.</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Одним из важнейших факторов контроля по выявлению нарушений является слабая система Федеральных норм и правил, не позволяющая </w:t>
      </w:r>
      <w:r w:rsidRPr="00BA68B5">
        <w:rPr>
          <w:rFonts w:ascii="Times New Roman" w:hAnsi="Times New Roman" w:cs="Times New Roman"/>
          <w:sz w:val="28"/>
          <w:szCs w:val="28"/>
        </w:rPr>
        <w:br/>
        <w:t xml:space="preserve">в полной мере осуществлять надзор за предприятиями, а именно: </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отсутствие Федеральных норм и правил, регламентирующих требования промышленной безопасности на предприятиях ОПК;</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отсутствие установленной законодательством ответственности владельцев предприятий, за нарушение регламентирующих требования промышленной безопасности на предприятиях ОПК;</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отсутствие со стороны Министерства внутренних дел контроля за оборотом взрывчатых веществ (хранение, учет, распространение ВМ);</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транспортирование ВМ автотранспортом по дорогам общего пользования при отсутствии требований по регистрации данного вида работ, как эксплуатации опасного производственного объекта;</w:t>
      </w:r>
    </w:p>
    <w:p w:rsidR="00BB6689" w:rsidRPr="00BA68B5" w:rsidRDefault="00BB6689" w:rsidP="00BB6689">
      <w:pPr>
        <w:autoSpaceDE w:val="0"/>
        <w:autoSpaceDN w:val="0"/>
        <w:adjustRightInd w:val="0"/>
        <w:spacing w:after="0" w:line="360" w:lineRule="auto"/>
        <w:ind w:firstLine="708"/>
        <w:jc w:val="both"/>
        <w:rPr>
          <w:rFonts w:ascii="Times New Roman" w:hAnsi="Times New Roman" w:cs="Times New Roman"/>
          <w:sz w:val="28"/>
          <w:szCs w:val="28"/>
        </w:rPr>
      </w:pPr>
      <w:r w:rsidRPr="00BA68B5">
        <w:rPr>
          <w:rFonts w:ascii="Times New Roman" w:hAnsi="Times New Roman" w:cs="Times New Roman"/>
          <w:sz w:val="28"/>
          <w:szCs w:val="28"/>
        </w:rPr>
        <w:t>отсутствие Федеральных норм и правил, регламентирующих требования промышленной безопасности к перевозке и автотранспорту для ВМ по внутренним дорогам предприятия;</w:t>
      </w:r>
    </w:p>
    <w:p w:rsidR="00BB6689" w:rsidRPr="00BA68B5" w:rsidRDefault="00BB6689" w:rsidP="00BB6689">
      <w:pPr>
        <w:autoSpaceDE w:val="0"/>
        <w:autoSpaceDN w:val="0"/>
        <w:adjustRightInd w:val="0"/>
        <w:spacing w:after="0" w:line="360" w:lineRule="auto"/>
        <w:ind w:firstLine="567"/>
        <w:jc w:val="both"/>
        <w:rPr>
          <w:rFonts w:ascii="Times New Roman" w:hAnsi="Times New Roman" w:cs="Times New Roman"/>
          <w:sz w:val="28"/>
          <w:szCs w:val="28"/>
        </w:rPr>
      </w:pPr>
      <w:r w:rsidRPr="00BA68B5">
        <w:rPr>
          <w:rFonts w:ascii="Times New Roman" w:hAnsi="Times New Roman" w:cs="Times New Roman"/>
          <w:sz w:val="28"/>
          <w:szCs w:val="28"/>
        </w:rPr>
        <w:t>отсутствие достаточного финансирования как со стороны государства (федеральные казенные предприятия), так и со стороны владельцев частных предприятий.</w:t>
      </w:r>
    </w:p>
    <w:p w:rsidR="00BB6689" w:rsidRPr="00BA68B5" w:rsidRDefault="00BB6689" w:rsidP="00BB6689">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Для решения большинства приведенных проблем необходимо разработать актуальные Федеральные нормы и правила, регламентирующие требования промышленной безопасности на предприятиях ВМ и ОПК. Так, за основу можно взять действующие на предприятиях регламенты, правила </w:t>
      </w:r>
      <w:r w:rsidRPr="00BA68B5">
        <w:rPr>
          <w:rFonts w:ascii="Times New Roman" w:hAnsi="Times New Roman" w:cs="Times New Roman"/>
          <w:sz w:val="28"/>
          <w:szCs w:val="28"/>
        </w:rPr>
        <w:br/>
        <w:t xml:space="preserve">и иную документацию, по которым ведется работа в организации, но которую </w:t>
      </w:r>
      <w:r w:rsidRPr="00BA68B5">
        <w:rPr>
          <w:rFonts w:ascii="Times New Roman" w:hAnsi="Times New Roman" w:cs="Times New Roman"/>
          <w:sz w:val="28"/>
          <w:szCs w:val="28"/>
        </w:rPr>
        <w:br/>
        <w:t>с точки зрения правоприменимости невозможно использовать при проведении контрольно-надзорных мероприятий.</w:t>
      </w:r>
    </w:p>
    <w:p w:rsidR="00BA3CE9" w:rsidRPr="00BA68B5" w:rsidRDefault="00BA3CE9" w:rsidP="00257018">
      <w:pPr>
        <w:pStyle w:val="affe"/>
        <w:rPr>
          <w:rFonts w:ascii="Times New Roman" w:hAnsi="Times New Roman"/>
          <w:sz w:val="28"/>
          <w:szCs w:val="28"/>
        </w:rPr>
      </w:pPr>
    </w:p>
    <w:p w:rsidR="004F5B12" w:rsidRPr="00BA68B5" w:rsidRDefault="00341073" w:rsidP="00E32F3A">
      <w:pPr>
        <w:pStyle w:val="affe"/>
        <w:ind w:firstLine="0"/>
        <w:jc w:val="center"/>
        <w:rPr>
          <w:rFonts w:ascii="Times New Roman" w:hAnsi="Times New Roman"/>
          <w:b/>
          <w:sz w:val="28"/>
          <w:szCs w:val="28"/>
          <w:lang w:eastAsia="ru-RU"/>
        </w:rPr>
      </w:pPr>
      <w:r w:rsidRPr="00BA68B5">
        <w:rPr>
          <w:rFonts w:ascii="Times New Roman" w:hAnsi="Times New Roman"/>
          <w:b/>
          <w:sz w:val="28"/>
          <w:szCs w:val="28"/>
          <w:lang w:eastAsia="ru-RU"/>
        </w:rPr>
        <w:t>Взрывопожароопасные объекты хранения и переработки</w:t>
      </w:r>
    </w:p>
    <w:p w:rsidR="00341073" w:rsidRPr="00BA68B5" w:rsidRDefault="00341073" w:rsidP="00E33D49">
      <w:pPr>
        <w:pStyle w:val="affe"/>
        <w:jc w:val="center"/>
        <w:rPr>
          <w:rFonts w:ascii="Times New Roman" w:hAnsi="Times New Roman"/>
          <w:b/>
          <w:sz w:val="28"/>
          <w:szCs w:val="28"/>
          <w:lang w:eastAsia="ru-RU"/>
        </w:rPr>
      </w:pPr>
      <w:r w:rsidRPr="00BA68B5">
        <w:rPr>
          <w:rFonts w:ascii="Times New Roman" w:hAnsi="Times New Roman"/>
          <w:b/>
          <w:sz w:val="28"/>
          <w:szCs w:val="28"/>
          <w:lang w:eastAsia="ru-RU"/>
        </w:rPr>
        <w:t>растительного сырья</w:t>
      </w:r>
    </w:p>
    <w:p w:rsidR="00286D22" w:rsidRPr="00BA68B5" w:rsidRDefault="00286D22" w:rsidP="00E33D49">
      <w:pPr>
        <w:pStyle w:val="affe"/>
        <w:jc w:val="center"/>
        <w:rPr>
          <w:rFonts w:ascii="Times New Roman" w:hAnsi="Times New Roman"/>
          <w:b/>
          <w:sz w:val="28"/>
          <w:szCs w:val="28"/>
          <w:lang w:eastAsia="ru-RU"/>
        </w:rPr>
      </w:pPr>
    </w:p>
    <w:p w:rsidR="00E32F3A" w:rsidRPr="00BA68B5" w:rsidRDefault="00E32F3A" w:rsidP="00E32F3A">
      <w:pPr>
        <w:spacing w:after="0" w:line="360" w:lineRule="auto"/>
        <w:ind w:firstLine="709"/>
        <w:contextualSpacing/>
        <w:jc w:val="both"/>
        <w:rPr>
          <w:rFonts w:ascii="Times New Roman" w:eastAsia="Calibri" w:hAnsi="Times New Roman" w:cs="Times New Roman"/>
          <w:bCs/>
          <w:sz w:val="28"/>
          <w:szCs w:val="28"/>
        </w:rPr>
      </w:pPr>
      <w:r w:rsidRPr="00BA68B5">
        <w:rPr>
          <w:rFonts w:ascii="Times New Roman" w:eastAsia="Calibri" w:hAnsi="Times New Roman" w:cs="Times New Roman"/>
          <w:bCs/>
          <w:sz w:val="28"/>
          <w:szCs w:val="28"/>
        </w:rPr>
        <w:t>К предприятиям, эксплуатирующим объекты хранения и переработки растительного сырья, относятся мукомольные, крупяные, комбикормовые производства, элеваторы,</w:t>
      </w:r>
      <w:r w:rsidRPr="00BA68B5">
        <w:rPr>
          <w:rFonts w:ascii="Times New Roman" w:eastAsia="Times New Roman" w:hAnsi="Times New Roman" w:cs="Times New Roman"/>
          <w:sz w:val="28"/>
          <w:szCs w:val="28"/>
          <w:lang w:eastAsia="ru-RU"/>
        </w:rPr>
        <w:t xml:space="preserve"> </w:t>
      </w:r>
      <w:r w:rsidRPr="00BA68B5">
        <w:rPr>
          <w:rFonts w:ascii="Times New Roman" w:eastAsia="Calibri" w:hAnsi="Times New Roman" w:cs="Times New Roman"/>
          <w:bCs/>
          <w:sz w:val="28"/>
          <w:szCs w:val="28"/>
        </w:rPr>
        <w:t>склады для бестарного хранения муки в составе хлебопекарных, макаронных производств, подготовительные (подработочные, дробильные) отделения по очистке, измельчению растительного сырья и продуктов его переработки в составе кондитерских, пищеконцентратных, пивоваренных, спиртовых производств, механизированные склады напольного хранения шрота и жмыха, подготовительные отделения по очистке и шелушению маслосемян производств растительного масла и иные объекты, на которых образуются взрывоопасные пылевоздушные смеси.</w:t>
      </w:r>
    </w:p>
    <w:p w:rsidR="00E32F3A" w:rsidRPr="00BA68B5" w:rsidRDefault="00E32F3A" w:rsidP="00E32F3A">
      <w:pPr>
        <w:tabs>
          <w:tab w:val="left" w:pos="709"/>
        </w:tabs>
        <w:spacing w:after="0" w:line="360" w:lineRule="auto"/>
        <w:ind w:firstLine="709"/>
        <w:jc w:val="both"/>
        <w:rPr>
          <w:rFonts w:ascii="Times New Roman" w:hAnsi="Times New Roman" w:cs="Times New Roman"/>
          <w:bCs/>
          <w:sz w:val="28"/>
          <w:szCs w:val="28"/>
        </w:rPr>
      </w:pPr>
      <w:r w:rsidRPr="00BA68B5">
        <w:rPr>
          <w:rFonts w:ascii="Times New Roman" w:eastAsia="Times New Roman" w:hAnsi="Times New Roman" w:cs="Times New Roman"/>
          <w:sz w:val="28"/>
          <w:szCs w:val="28"/>
          <w:lang w:eastAsia="ru-RU"/>
        </w:rPr>
        <w:t>Под контролем Средне-Поволжского управления Ростехнадзора находится 326 организаций, эксплуатирующих 731 ОПО</w:t>
      </w:r>
      <w:r w:rsidRPr="00BA68B5">
        <w:rPr>
          <w:rFonts w:ascii="Times New Roman" w:eastAsia="Calibri" w:hAnsi="Times New Roman" w:cs="Times New Roman"/>
          <w:bCs/>
          <w:sz w:val="28"/>
          <w:szCs w:val="28"/>
        </w:rPr>
        <w:t xml:space="preserve"> хранения и переработки растительного сырья, </w:t>
      </w:r>
      <w:r w:rsidRPr="00BA68B5">
        <w:rPr>
          <w:rFonts w:ascii="Times New Roman" w:eastAsia="Times New Roman" w:hAnsi="Times New Roman" w:cs="Times New Roman"/>
          <w:sz w:val="28"/>
          <w:szCs w:val="28"/>
          <w:lang w:eastAsia="ru-RU"/>
        </w:rPr>
        <w:t xml:space="preserve">в том числе </w:t>
      </w:r>
      <w:r w:rsidRPr="00BA68B5">
        <w:rPr>
          <w:rFonts w:ascii="Times New Roman" w:eastAsia="Times New Roman" w:hAnsi="Times New Roman" w:cs="Times New Roman"/>
          <w:sz w:val="28"/>
          <w:szCs w:val="28"/>
          <w:lang w:val="en-US" w:eastAsia="ru-RU"/>
        </w:rPr>
        <w:t>III</w:t>
      </w:r>
      <w:r w:rsidRPr="00BA68B5">
        <w:rPr>
          <w:rFonts w:ascii="Times New Roman" w:eastAsia="Times New Roman" w:hAnsi="Times New Roman" w:cs="Times New Roman"/>
          <w:sz w:val="28"/>
          <w:szCs w:val="28"/>
          <w:lang w:eastAsia="ru-RU"/>
        </w:rPr>
        <w:t xml:space="preserve"> класса опасности - 232 ОПО, </w:t>
      </w:r>
      <w:r w:rsidRPr="00BA68B5">
        <w:rPr>
          <w:rFonts w:ascii="Times New Roman" w:eastAsia="Times New Roman" w:hAnsi="Times New Roman" w:cs="Times New Roman"/>
          <w:sz w:val="28"/>
          <w:szCs w:val="28"/>
          <w:lang w:val="en-US" w:eastAsia="ru-RU"/>
        </w:rPr>
        <w:t>IV</w:t>
      </w:r>
      <w:r w:rsidRPr="00BA68B5">
        <w:rPr>
          <w:rFonts w:ascii="Times New Roman" w:eastAsia="Times New Roman" w:hAnsi="Times New Roman" w:cs="Times New Roman"/>
          <w:sz w:val="28"/>
          <w:szCs w:val="28"/>
          <w:lang w:eastAsia="ru-RU"/>
        </w:rPr>
        <w:t xml:space="preserve"> класса опасности - 499 ОПО</w:t>
      </w:r>
      <w:r w:rsidRPr="00BA68B5">
        <w:rPr>
          <w:rFonts w:ascii="Times New Roman" w:hAnsi="Times New Roman" w:cs="Times New Roman"/>
          <w:bCs/>
          <w:sz w:val="28"/>
          <w:szCs w:val="28"/>
        </w:rPr>
        <w:t>.</w:t>
      </w:r>
    </w:p>
    <w:p w:rsidR="00E32F3A" w:rsidRPr="00BA68B5" w:rsidRDefault="00E32F3A" w:rsidP="00B61741">
      <w:pPr>
        <w:tabs>
          <w:tab w:val="left" w:pos="709"/>
        </w:tabs>
        <w:spacing w:after="0" w:line="360" w:lineRule="auto"/>
        <w:jc w:val="center"/>
        <w:rPr>
          <w:rFonts w:ascii="Times New Roman" w:hAnsi="Times New Roman" w:cs="Times New Roman"/>
          <w:bCs/>
          <w:sz w:val="28"/>
          <w:szCs w:val="28"/>
        </w:rPr>
      </w:pPr>
      <w:r w:rsidRPr="00BA68B5">
        <w:rPr>
          <w:rFonts w:ascii="Times New Roman" w:hAnsi="Times New Roman" w:cs="Times New Roman"/>
          <w:bCs/>
          <w:noProof/>
          <w:sz w:val="28"/>
          <w:szCs w:val="28"/>
          <w:lang w:eastAsia="ru-RU"/>
        </w:rPr>
        <w:drawing>
          <wp:inline distT="0" distB="0" distL="0" distR="0" wp14:anchorId="5E91B4DE" wp14:editId="16D495E6">
            <wp:extent cx="5935287" cy="2593571"/>
            <wp:effectExtent l="0" t="0" r="2794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32F3A" w:rsidRPr="00BA68B5" w:rsidRDefault="00E32F3A" w:rsidP="00E32F3A">
      <w:pPr>
        <w:tabs>
          <w:tab w:val="left" w:pos="709"/>
        </w:tabs>
        <w:spacing w:after="0" w:line="360" w:lineRule="auto"/>
        <w:ind w:firstLine="709"/>
        <w:jc w:val="both"/>
        <w:rPr>
          <w:rFonts w:ascii="Times New Roman" w:eastAsia="Calibri" w:hAnsi="Times New Roman" w:cs="Times New Roman"/>
          <w:sz w:val="28"/>
          <w:szCs w:val="28"/>
          <w:lang w:eastAsia="ru-RU"/>
        </w:rPr>
      </w:pPr>
      <w:r w:rsidRPr="00BA68B5">
        <w:rPr>
          <w:rFonts w:ascii="Times New Roman" w:eastAsia="Times New Roman" w:hAnsi="Times New Roman" w:cs="Times New Roman"/>
          <w:sz w:val="28"/>
          <w:szCs w:val="28"/>
          <w:lang w:eastAsia="ru-RU"/>
        </w:rPr>
        <w:t>Аварии и смертельные несчастные случаи за 6 месяцев 2020 года не зафиксированы.</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Средне-Поволжским управлением Ростехнадзора за 6 месяцев 2020 год проведено 23</w:t>
      </w:r>
      <w:r w:rsidRPr="00BA68B5">
        <w:rPr>
          <w:rFonts w:ascii="Times New Roman" w:hAnsi="Times New Roman" w:cs="Times New Roman"/>
          <w:bCs/>
          <w:sz w:val="28"/>
          <w:szCs w:val="28"/>
        </w:rPr>
        <w:t xml:space="preserve"> </w:t>
      </w:r>
      <w:r w:rsidRPr="00BA68B5">
        <w:rPr>
          <w:rFonts w:ascii="Times New Roman" w:hAnsi="Times New Roman" w:cs="Times New Roman"/>
          <w:sz w:val="28"/>
          <w:szCs w:val="28"/>
        </w:rPr>
        <w:t xml:space="preserve">проверки соблюдения требований промышленной безопасности при эксплуатации опасных производственных объектов, в том числе 10 плановых проверок, 13 внеплановых проверок. </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При проведении проверок </w:t>
      </w:r>
      <w:r w:rsidRPr="00BA68B5">
        <w:rPr>
          <w:rFonts w:ascii="Times New Roman" w:hAnsi="Times New Roman" w:cs="Times New Roman"/>
          <w:bCs/>
          <w:sz w:val="28"/>
          <w:szCs w:val="28"/>
        </w:rPr>
        <w:t xml:space="preserve">взрывопожароопасных объектов хранения и переработки растительного сырья за 6 месяцев </w:t>
      </w:r>
      <w:r w:rsidRPr="00BA68B5">
        <w:rPr>
          <w:rFonts w:ascii="Times New Roman" w:hAnsi="Times New Roman" w:cs="Times New Roman"/>
          <w:sz w:val="28"/>
          <w:szCs w:val="28"/>
        </w:rPr>
        <w:t xml:space="preserve">2020 года выявлены правонарушения по результатам 11 проверок, из них 8 плановых и 3 внеплановых проверки. </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В результате проведенных проверок за 6 месяцев 2020 года выявлено 469 нарушений требований промышленной безопасности, из них при плановых проверках – 416, при внеплановых – 53. </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По итогам проверок за 6 месяцев 2020 года наложено 21 административное наказание, из них по плановым проверкам – 14, по внеплановым проверкам – 7. </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Общая сумма наложенных административных штрафов за 6 месяцев 2020 года составила 980 тыс. рублей, в том числе наложенных на юридических лиц – 900 тыс. рублей, на должностных лиц – 80 тыс. рублей. </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Общая сумма уплаченны</w:t>
      </w:r>
      <w:r w:rsidR="00F33FB0" w:rsidRPr="00BA68B5">
        <w:rPr>
          <w:rFonts w:ascii="Times New Roman" w:hAnsi="Times New Roman" w:cs="Times New Roman"/>
          <w:sz w:val="28"/>
          <w:szCs w:val="28"/>
        </w:rPr>
        <w:t>х</w:t>
      </w:r>
      <w:r w:rsidRPr="00BA68B5">
        <w:rPr>
          <w:rFonts w:ascii="Times New Roman" w:hAnsi="Times New Roman" w:cs="Times New Roman"/>
          <w:sz w:val="28"/>
          <w:szCs w:val="28"/>
        </w:rPr>
        <w:t xml:space="preserve"> (взысканных) административных штрафов за 6 месяцев 2020 года составляет 980</w:t>
      </w:r>
      <w:r w:rsidRPr="00BA68B5">
        <w:t xml:space="preserve"> </w:t>
      </w:r>
      <w:r w:rsidRPr="00BA68B5">
        <w:rPr>
          <w:rFonts w:ascii="Times New Roman" w:hAnsi="Times New Roman" w:cs="Times New Roman"/>
          <w:sz w:val="28"/>
          <w:szCs w:val="28"/>
        </w:rPr>
        <w:t>тыс. рублей.</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по фактам выявленных нарушений материалы проверок в правоохранительные органы для возбуждения уголовного дела (принятия мер прокурорского реагирования) не передавались.</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При проведении контрольно-надзорных мероприятий на объектах хранения и переработки растительного сырья выявляются следующие характерные нарушения: </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разработаны паспорта на пневмотранспортные и аспирационные установки;</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разработаны графики уборки пыли,</w:t>
      </w:r>
      <w:r w:rsidRPr="00BA68B5">
        <w:t xml:space="preserve"> </w:t>
      </w:r>
      <w:r w:rsidRPr="00BA68B5">
        <w:rPr>
          <w:rFonts w:ascii="Times New Roman" w:hAnsi="Times New Roman" w:cs="Times New Roman"/>
          <w:sz w:val="28"/>
          <w:szCs w:val="28"/>
        </w:rPr>
        <w:t>утвержденные руководителем эксплуатирующей организации (техническим директором);</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отсутствуют в оборудовании, применяемом на ОПО, средства взрывопредупреждения (РКС, датчики подпора, датчики обрыва цепи, устройства контроля сбегания ленты);</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разработан технический паспорт взрывобезопасности, не соответствующий требованиям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утверждённых приказом Федеральной службы по экологическому, технологическому и атомному надзору от 31 декабря 2014 № 632;</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обеспечивается полнота и достоверность сведений, представляемых организациями при регистрации опасных производственных объектов в государственном реестре опасных производственных объектов;</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на технических устройствах не установлены устройства, предохраняющие конвейеры от переполнения короба продуктом (сливные самотеки в бункеры и силосы, оснащенные датчиками верхнего уровня; предохранительные клапаны с концевыми выключателями; датчики подпора или другие устройства);</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отсутствует достаточная площадь легкосбрасываемых конструкций;</w:t>
      </w:r>
    </w:p>
    <w:p w:rsidR="00E32F3A" w:rsidRPr="00BA68B5" w:rsidRDefault="00E32F3A" w:rsidP="00E32F3A">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промаркировано с нанесением четких надписей на видных местах технологическое, транспортное, аспирационное и другое оборудование, а также самотеки, материалопроводы в соответствии с технологической схемой.</w:t>
      </w:r>
    </w:p>
    <w:bookmarkEnd w:id="9"/>
    <w:p w:rsidR="00E172CC" w:rsidRPr="00BA68B5" w:rsidRDefault="00E172CC" w:rsidP="00E32F3A">
      <w:pPr>
        <w:keepNext/>
        <w:keepLines/>
        <w:tabs>
          <w:tab w:val="left" w:pos="709"/>
        </w:tabs>
        <w:spacing w:before="200" w:after="0" w:line="240" w:lineRule="auto"/>
        <w:jc w:val="center"/>
        <w:outlineLvl w:val="2"/>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 xml:space="preserve">Объекты, на которых используется оборудование, </w:t>
      </w:r>
      <w:r w:rsidRPr="00BA68B5">
        <w:rPr>
          <w:rFonts w:ascii="Times New Roman" w:eastAsia="Times New Roman" w:hAnsi="Times New Roman" w:cs="Times New Roman"/>
          <w:b/>
          <w:sz w:val="28"/>
          <w:szCs w:val="28"/>
          <w:lang w:eastAsia="ru-RU"/>
        </w:rPr>
        <w:br/>
        <w:t>работающее под избыточным давлением</w:t>
      </w:r>
    </w:p>
    <w:p w:rsidR="00CE48E3" w:rsidRPr="00BA68B5" w:rsidRDefault="00CE48E3" w:rsidP="00BA68B5">
      <w:pPr>
        <w:pStyle w:val="affe"/>
      </w:pPr>
    </w:p>
    <w:p w:rsidR="00CE48E3" w:rsidRPr="00BA68B5" w:rsidRDefault="00CE48E3" w:rsidP="00CE48E3">
      <w:pPr>
        <w:spacing w:after="0" w:line="360" w:lineRule="auto"/>
        <w:ind w:firstLine="709"/>
        <w:jc w:val="both"/>
        <w:rPr>
          <w:rFonts w:ascii="Times New Roman" w:hAnsi="Times New Roman" w:cs="Times New Roman"/>
          <w:bCs/>
          <w:sz w:val="28"/>
          <w:szCs w:val="28"/>
        </w:rPr>
      </w:pPr>
      <w:r w:rsidRPr="00BA68B5">
        <w:rPr>
          <w:rFonts w:ascii="Times New Roman" w:hAnsi="Times New Roman" w:cs="Times New Roman"/>
          <w:bCs/>
          <w:sz w:val="28"/>
          <w:szCs w:val="28"/>
        </w:rPr>
        <w:t>За 6 месяцев 2020 года федеральный государственный надзор в области промышленной безопасности осуществлялся в отношении 1274 опасных производственных объектов, на которых используется оборудование, работающее под избыточным давлением.</w:t>
      </w:r>
    </w:p>
    <w:p w:rsidR="00CE48E3" w:rsidRPr="00BA68B5" w:rsidRDefault="00CE48E3" w:rsidP="00BA68B5">
      <w:pPr>
        <w:spacing w:after="0" w:line="360" w:lineRule="auto"/>
        <w:jc w:val="both"/>
        <w:rPr>
          <w:rFonts w:ascii="Times New Roman" w:hAnsi="Times New Roman" w:cs="Times New Roman"/>
          <w:bCs/>
          <w:sz w:val="28"/>
          <w:szCs w:val="28"/>
        </w:rPr>
      </w:pPr>
      <w:r w:rsidRPr="00BA68B5">
        <w:rPr>
          <w:rFonts w:ascii="Times New Roman" w:hAnsi="Times New Roman" w:cs="Times New Roman"/>
          <w:bCs/>
          <w:noProof/>
          <w:sz w:val="28"/>
          <w:szCs w:val="28"/>
          <w:lang w:eastAsia="ru-RU"/>
        </w:rPr>
        <w:drawing>
          <wp:inline distT="0" distB="0" distL="0" distR="0" wp14:anchorId="74874595" wp14:editId="04856BB4">
            <wp:extent cx="5835535" cy="2718262"/>
            <wp:effectExtent l="0" t="0" r="13335" b="2540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48E3" w:rsidRPr="00BA68B5" w:rsidRDefault="00CE48E3" w:rsidP="00CE48E3">
      <w:pPr>
        <w:tabs>
          <w:tab w:val="left" w:pos="709"/>
        </w:tabs>
        <w:spacing w:after="0" w:line="360" w:lineRule="auto"/>
        <w:ind w:firstLine="709"/>
        <w:jc w:val="both"/>
        <w:rPr>
          <w:rFonts w:ascii="Times New Roman" w:eastAsia="Calibri"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на поднадзорных ОПО аварии и несчастные случаи не зафиксированы, как и за 6 месяцев </w:t>
      </w:r>
      <w:r w:rsidRPr="00BA68B5">
        <w:rPr>
          <w:rFonts w:ascii="Times New Roman" w:eastAsia="Calibri" w:hAnsi="Times New Roman" w:cs="Times New Roman"/>
          <w:sz w:val="28"/>
          <w:szCs w:val="28"/>
          <w:lang w:eastAsia="ru-RU"/>
        </w:rPr>
        <w:t>2019 года.</w:t>
      </w:r>
    </w:p>
    <w:p w:rsidR="00CE48E3" w:rsidRPr="00BA68B5" w:rsidRDefault="00CE48E3" w:rsidP="00CE48E3">
      <w:pPr>
        <w:spacing w:after="0" w:line="360" w:lineRule="auto"/>
        <w:ind w:firstLine="709"/>
        <w:jc w:val="both"/>
        <w:rPr>
          <w:rFonts w:ascii="Times New Roman" w:hAnsi="Times New Roman" w:cs="Times New Roman"/>
          <w:snapToGrid w:val="0"/>
          <w:sz w:val="28"/>
          <w:szCs w:val="28"/>
        </w:rPr>
      </w:pPr>
      <w:r w:rsidRPr="00BA68B5">
        <w:rPr>
          <w:rFonts w:ascii="Times New Roman" w:hAnsi="Times New Roman" w:cs="Times New Roman"/>
          <w:snapToGrid w:val="0"/>
          <w:sz w:val="28"/>
          <w:szCs w:val="28"/>
        </w:rPr>
        <w:t>Основной причиной снижения уровня промышленной безопасности оборудования, работающего под избыточным давлением, является большое количество оборудования, отработавшего свой срок службы.</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течение 6 месяцев 2020 года проведено 160</w:t>
      </w:r>
      <w:r w:rsidRPr="00BA68B5">
        <w:rPr>
          <w:rFonts w:ascii="Times New Roman" w:hAnsi="Times New Roman" w:cs="Times New Roman"/>
          <w:bCs/>
          <w:sz w:val="28"/>
          <w:szCs w:val="28"/>
        </w:rPr>
        <w:t xml:space="preserve"> проверок </w:t>
      </w:r>
      <w:r w:rsidRPr="00BA68B5">
        <w:rPr>
          <w:rFonts w:ascii="Times New Roman" w:hAnsi="Times New Roman" w:cs="Times New Roman"/>
          <w:sz w:val="28"/>
          <w:szCs w:val="28"/>
        </w:rPr>
        <w:t>(за 6 месяцев 2019 года – 218) соблюдения требований промышленной безопасности при эксплуатации опасных производственных объектов, в том числе плановых проверок – 28, в рамках режима постоянного государственного надзора – 21, тогда как за 6 месяцев 2019 года проведено плановых проверок – 59, в рамках режима постоянного государственного надзора – 7.</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Количество проверок с привлечением представителей территориальных органов органами прокуратуры за 6 месяцев 2020 года составило 5 (за 6 месяцев 2019 года – 0).</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w:t>
      </w:r>
      <w:r w:rsidRPr="00BA68B5">
        <w:rPr>
          <w:rFonts w:ascii="Times New Roman" w:hAnsi="Times New Roman" w:cs="Times New Roman"/>
          <w:bCs/>
          <w:sz w:val="28"/>
          <w:szCs w:val="28"/>
        </w:rPr>
        <w:t xml:space="preserve"> количество проверок объектов, на которых используется оборудование, работающее под избыточным давлением,</w:t>
      </w:r>
      <w:r w:rsidRPr="00BA68B5">
        <w:rPr>
          <w:rFonts w:ascii="Times New Roman" w:hAnsi="Times New Roman" w:cs="Times New Roman"/>
          <w:sz w:val="28"/>
          <w:szCs w:val="28"/>
        </w:rPr>
        <w:t xml:space="preserve"> по которым выявлены правонарушения, составило 52 (за аналогичный период 2019 года –85), из них плановых проверок – 20, в рамках режима постоянного государственного надзора – 6.</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В результате проведенных проверок выявлено 1227 нарушений требований промышленной безопасности (за 6 месяцев  2019 года – 1575), из них при плановых проверках – 304, в рамках режима постоянного государственного надзора – 250.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Количество административных наказаний, наложенных по итогам проверок, составило 71 (за 6 месяцев 2019 года – 94), из них 5 приостановлений деятельности, 8 предупреждений, 58 административных штрафов.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Общая сумма административных штрафов составила 3169 тыс. рублей (за 6 месяцев 2019 года –8531 тыс. рублей), в том числе наложенных на юридических лиц – 2210 тыс. рублей, на должностных лиц – 2281 тыс. рублей. Общая сумма штрафов при внеплановых проверках составила 959 тыс. рублей.</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по фактам выявленных нарушений при проведении проверок в правоохранительные органы для возбуждения уголовного дела (принятия мер прокурорского реагирования) материалы  проверок не направлялись.</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К типичным нарушениям обязательных требований можно отнести: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отсутствие графиков ремонта и технического обслуживания оборудования, работающего под давлением;</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специалисты, ответственные за осуществление производственного контроля, не осуществляют контроль за соблюдением требований законодательства Российской Федерации в области промышленной безопасности;</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отсутствие на рабочем месте схем включения сосуда, работающего под давлением.</w:t>
      </w:r>
    </w:p>
    <w:p w:rsidR="00237B88" w:rsidRPr="00BA68B5" w:rsidRDefault="00237B88" w:rsidP="00BA68B5">
      <w:pPr>
        <w:pStyle w:val="affe"/>
      </w:pPr>
    </w:p>
    <w:p w:rsidR="00E172CC" w:rsidRPr="00BA68B5" w:rsidRDefault="00E172CC" w:rsidP="001B3994">
      <w:pPr>
        <w:keepNext/>
        <w:keepLines/>
        <w:tabs>
          <w:tab w:val="left" w:pos="709"/>
        </w:tabs>
        <w:spacing w:before="200" w:after="0" w:line="240" w:lineRule="auto"/>
        <w:jc w:val="center"/>
        <w:outlineLvl w:val="2"/>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color w:val="000000"/>
          <w:sz w:val="28"/>
          <w:szCs w:val="28"/>
          <w:lang w:eastAsia="ru-RU"/>
        </w:rPr>
        <w:t xml:space="preserve">Объекты, на которых используются стационарно установленные грузоподъемные механизмы и подъемные </w:t>
      </w:r>
      <w:r w:rsidRPr="00BA68B5">
        <w:rPr>
          <w:rFonts w:ascii="Times New Roman" w:eastAsia="Times New Roman" w:hAnsi="Times New Roman" w:cs="Times New Roman"/>
          <w:b/>
          <w:sz w:val="28"/>
          <w:szCs w:val="28"/>
          <w:lang w:eastAsia="ru-RU"/>
        </w:rPr>
        <w:t xml:space="preserve">сооружения </w:t>
      </w:r>
    </w:p>
    <w:p w:rsidR="009D4539" w:rsidRPr="00BA68B5" w:rsidRDefault="009D4539" w:rsidP="009D4539">
      <w:pPr>
        <w:pStyle w:val="affe"/>
        <w:rPr>
          <w:lang w:eastAsia="ru-RU"/>
        </w:rPr>
      </w:pPr>
    </w:p>
    <w:bookmarkEnd w:id="10"/>
    <w:p w:rsidR="00CE48E3" w:rsidRPr="00BA68B5" w:rsidRDefault="00CE48E3" w:rsidP="00CE48E3">
      <w:pPr>
        <w:spacing w:after="0" w:line="360" w:lineRule="auto"/>
        <w:ind w:firstLine="72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соответствии с полномочиями, определенными Положением </w:t>
      </w:r>
      <w:r w:rsidRPr="00BA68B5">
        <w:rPr>
          <w:rFonts w:ascii="Times New Roman" w:eastAsia="Times New Roman" w:hAnsi="Times New Roman" w:cs="Times New Roman"/>
          <w:sz w:val="28"/>
          <w:szCs w:val="28"/>
          <w:lang w:eastAsia="ru-RU"/>
        </w:rPr>
        <w:br/>
        <w:t>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 401, постановлением Правительства Российской Федерации от 13 мая 2013 г. № 407 «Об уполномоченных органах Российской Федерации по обеспечению государственного контроля (надзора) за соблюдением требований технических регламентов Таможенного союза», Ростехнадзором осуществляется государственный контроль (надзор), в том числе за соблюдением требований:</w:t>
      </w:r>
    </w:p>
    <w:p w:rsidR="00CE48E3" w:rsidRPr="00BA68B5" w:rsidRDefault="00CE48E3" w:rsidP="00CE48E3">
      <w:pPr>
        <w:spacing w:after="0" w:line="360" w:lineRule="auto"/>
        <w:ind w:firstLine="72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промышленной безопасности на опасных производственных объектах, составляющими которых являются стационарно установленные грузоподъемные механизмы (за исключением лифтов, подъемных платформ для инвалидов, эскалаторов вне метрополитенов), эскалаторы </w:t>
      </w:r>
      <w:r w:rsidRPr="00BA68B5">
        <w:rPr>
          <w:rFonts w:ascii="Times New Roman" w:eastAsia="Times New Roman" w:hAnsi="Times New Roman" w:cs="Times New Roman"/>
          <w:sz w:val="28"/>
          <w:szCs w:val="28"/>
          <w:lang w:eastAsia="ru-RU"/>
        </w:rPr>
        <w:br/>
        <w:t>в метрополитенах, канатные дороги;</w:t>
      </w:r>
    </w:p>
    <w:p w:rsidR="00CE48E3" w:rsidRPr="00BA68B5" w:rsidRDefault="00CE48E3" w:rsidP="00CE48E3">
      <w:pPr>
        <w:spacing w:after="0" w:line="360" w:lineRule="auto"/>
        <w:ind w:firstLine="72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технического регламента Таможенного союза «О безопасности машин </w:t>
      </w:r>
      <w:r w:rsidRPr="00BA68B5">
        <w:rPr>
          <w:rFonts w:ascii="Times New Roman" w:eastAsia="Times New Roman" w:hAnsi="Times New Roman" w:cs="Times New Roman"/>
          <w:sz w:val="28"/>
          <w:szCs w:val="28"/>
          <w:lang w:eastAsia="ru-RU"/>
        </w:rPr>
        <w:br/>
        <w:t xml:space="preserve">и оборудования», принятого решением Комиссии Таможенного союза </w:t>
      </w:r>
      <w:r w:rsidRPr="00BA68B5">
        <w:rPr>
          <w:rFonts w:ascii="Times New Roman" w:eastAsia="Times New Roman" w:hAnsi="Times New Roman" w:cs="Times New Roman"/>
          <w:sz w:val="28"/>
          <w:szCs w:val="28"/>
          <w:lang w:eastAsia="ru-RU"/>
        </w:rPr>
        <w:br/>
        <w:t xml:space="preserve">от 18 октября 2011 г. № 823 (ТР ТС 010/2011); </w:t>
      </w:r>
    </w:p>
    <w:p w:rsidR="00CE48E3" w:rsidRPr="00BA68B5" w:rsidRDefault="00CE48E3" w:rsidP="00CE48E3">
      <w:pPr>
        <w:spacing w:after="0" w:line="360" w:lineRule="auto"/>
        <w:ind w:firstLine="720"/>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технического регламента Таможенного союза «Безопасность лифтов», принятого решением Комиссии Таможенного союза от 18 октября 2011 г.</w:t>
      </w:r>
      <w:r w:rsidRPr="00BA68B5">
        <w:rPr>
          <w:rFonts w:ascii="Times New Roman" w:eastAsia="Times New Roman" w:hAnsi="Times New Roman" w:cs="Times New Roman"/>
          <w:sz w:val="28"/>
          <w:szCs w:val="28"/>
          <w:lang w:eastAsia="ru-RU"/>
        </w:rPr>
        <w:br/>
        <w:t>№ 824 (ТР ТС 011/2011).</w:t>
      </w:r>
    </w:p>
    <w:p w:rsidR="00CE48E3" w:rsidRPr="00BA68B5" w:rsidRDefault="00CE48E3" w:rsidP="00CE48E3">
      <w:pPr>
        <w:spacing w:after="0" w:line="360" w:lineRule="auto"/>
        <w:ind w:firstLine="709"/>
        <w:contextualSpacing/>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 итогам перерегистрации ОПО, на которых используются подъемные сооружения, к IV классу опасности отнесены 4272 объекта, к III классу опасности отнесены 25 объектов, ко II классу опасности отнесены 8 объектов, к I классу опасности отнесены 7 объектов.</w:t>
      </w:r>
    </w:p>
    <w:p w:rsidR="00CE48E3" w:rsidRPr="00BA68B5" w:rsidRDefault="00CE48E3" w:rsidP="00CE48E3">
      <w:pPr>
        <w:tabs>
          <w:tab w:val="left" w:pos="5954"/>
        </w:tabs>
        <w:spacing w:after="0" w:line="360" w:lineRule="auto"/>
        <w:ind w:right="-28"/>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0D819490" wp14:editId="3F2D0652">
            <wp:extent cx="6317672" cy="3940233"/>
            <wp:effectExtent l="0" t="0" r="26035" b="222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48E3" w:rsidRPr="00BA68B5" w:rsidRDefault="00CE48E3" w:rsidP="00CE48E3">
      <w:pPr>
        <w:spacing w:after="0" w:line="360" w:lineRule="auto"/>
        <w:ind w:firstLine="709"/>
        <w:contextualSpacing/>
        <w:jc w:val="both"/>
        <w:rPr>
          <w:rFonts w:ascii="Times New Roman" w:eastAsia="Calibri"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При эксплуатации подъемных механизмов за 6 месяцев 2020 года произошли 2 аварии, 1 несчастный случай со смертельным исходом.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bCs/>
          <w:sz w:val="28"/>
          <w:szCs w:val="28"/>
          <w:lang w:eastAsia="ru-RU"/>
        </w:rPr>
      </w:pPr>
      <w:r w:rsidRPr="00BA68B5">
        <w:rPr>
          <w:rFonts w:ascii="Times New Roman" w:hAnsi="Times New Roman" w:cs="Times New Roman"/>
          <w:sz w:val="28"/>
          <w:szCs w:val="28"/>
        </w:rPr>
        <w:t>Средне-Поволжским управлением Ростехнадзора в течение 6 месяцев 2020 года проведена 131 проверка (за 6 месяцев 2019 года –</w:t>
      </w:r>
      <w:r w:rsidRPr="00BA68B5">
        <w:rPr>
          <w:rFonts w:ascii="Times New Roman" w:hAnsi="Times New Roman" w:cs="Times New Roman"/>
          <w:color w:val="FF0000"/>
          <w:sz w:val="28"/>
          <w:szCs w:val="28"/>
        </w:rPr>
        <w:t xml:space="preserve"> </w:t>
      </w:r>
      <w:r w:rsidRPr="00BA68B5">
        <w:rPr>
          <w:rFonts w:ascii="Times New Roman" w:hAnsi="Times New Roman" w:cs="Times New Roman"/>
          <w:sz w:val="28"/>
          <w:szCs w:val="28"/>
        </w:rPr>
        <w:t xml:space="preserve">164 проверки) соблюдения требований промышленной безопасности при эксплуатации опасных производственных объектов, в том числе плановых проверок – 1, в рамках режима постоянного государственного надзора – 5, за </w:t>
      </w:r>
      <w:r w:rsidRPr="00BA68B5">
        <w:rPr>
          <w:rFonts w:ascii="Times New Roman" w:hAnsi="Times New Roman" w:cs="Times New Roman"/>
          <w:bCs/>
          <w:sz w:val="28"/>
          <w:szCs w:val="28"/>
          <w:lang w:eastAsia="ru-RU"/>
        </w:rPr>
        <w:t>6 месяцев 2019 года проведено плановых проверок – 2, в рамках режима постоянного государственного надзора – 6.</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Количество проверок с привлечением представителей территориальных органов органами прокуратуры за 6 месяцев 2020 года составило 1 (за 6 месяцев 2019 года – 1).</w:t>
      </w:r>
    </w:p>
    <w:p w:rsidR="00CE48E3" w:rsidRPr="00BA68B5" w:rsidRDefault="00CE48E3" w:rsidP="00CE48E3">
      <w:pPr>
        <w:autoSpaceDE w:val="0"/>
        <w:autoSpaceDN w:val="0"/>
        <w:adjustRightInd w:val="0"/>
        <w:spacing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За 6 месяцев 2020 года количество проверок, по результатам проведения которых выявлены правонарушения, составило 80, из них плановых проверок – 1, в рамках режима постоянного государственного надзора – 5 (за 6 месяцев 2019 года – 48 проверка, из них плановых проверок – 2, в рамках режима постоянного государственного надзора – 3).</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результате проведенных проверок выявлено 754 нарушени</w:t>
      </w:r>
      <w:r w:rsidR="00F55A57" w:rsidRPr="00BA68B5">
        <w:rPr>
          <w:rFonts w:ascii="Times New Roman" w:hAnsi="Times New Roman" w:cs="Times New Roman"/>
          <w:sz w:val="28"/>
          <w:szCs w:val="28"/>
        </w:rPr>
        <w:t>я</w:t>
      </w:r>
      <w:r w:rsidRPr="00BA68B5">
        <w:rPr>
          <w:rFonts w:ascii="Times New Roman" w:hAnsi="Times New Roman" w:cs="Times New Roman"/>
          <w:sz w:val="28"/>
          <w:szCs w:val="28"/>
        </w:rPr>
        <w:t xml:space="preserve"> требований промышленной безопасности (за 6 месяцев 2019 года – 606), из них при плановых проверках – 49, в рамках режима постоянного государственного надзора – 47.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Количество административных наказаний, наложенных по итогам проверок, составило 38</w:t>
      </w:r>
      <w:r w:rsidR="00B47249" w:rsidRPr="00BA68B5">
        <w:rPr>
          <w:rFonts w:ascii="Times New Roman" w:hAnsi="Times New Roman" w:cs="Times New Roman"/>
          <w:sz w:val="28"/>
          <w:szCs w:val="28"/>
        </w:rPr>
        <w:t xml:space="preserve"> (за 6 месяцев 2019 года – 62)</w:t>
      </w:r>
      <w:r w:rsidRPr="00BA68B5">
        <w:rPr>
          <w:rFonts w:ascii="Times New Roman" w:hAnsi="Times New Roman" w:cs="Times New Roman"/>
          <w:sz w:val="28"/>
          <w:szCs w:val="28"/>
        </w:rPr>
        <w:t xml:space="preserve">, из них 5 административных приостановлений деятельности, 4 предупреждения, 27 административных штрафов, 2 дисквалификации.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Общая сумма административных штрафов составила 2137 тыс. рублей (за 6 месяцев 2019 года – 5000 тыс. рублей), в том числе наложенных на юридических лиц – 1783 тыс. рублей, на должностных лиц – 350 тыс. рублей, на граждан –4 тыс. рублей. Общая сумма штрафов при внеплановых проверках составила 1817 тыс. рублей.</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За 6 месяцев 2020 года по фактам выявленных нарушений материалы 3 проверок  были переданы в правоохранительные органы для возбуждения уголовного дела (в органы прокуратуры – 2, </w:t>
      </w:r>
      <w:r w:rsidR="00F55A57" w:rsidRPr="00BA68B5">
        <w:rPr>
          <w:rFonts w:ascii="Times New Roman" w:hAnsi="Times New Roman" w:cs="Times New Roman"/>
          <w:sz w:val="28"/>
          <w:szCs w:val="28"/>
        </w:rPr>
        <w:t xml:space="preserve">в </w:t>
      </w:r>
      <w:r w:rsidRPr="00BA68B5">
        <w:rPr>
          <w:rFonts w:ascii="Times New Roman" w:hAnsi="Times New Roman" w:cs="Times New Roman"/>
          <w:sz w:val="28"/>
          <w:szCs w:val="28"/>
        </w:rPr>
        <w:t xml:space="preserve">МВД России – 1).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Типичные нарушения обязательных требований, выявляемые при проведении проверок:</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в процессе эксплуатации съемных грузозахватных приспособлений владелец не производит периодические осмотры с занесением результатов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журнал установленной формы;</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у используемых в работе съемных грузозахватных приспособлений отсутствует паспорт;</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владельцами грузоподъемных кранов не разрабатываются технологические карты, технические условия на погрузку и разгрузку;</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обеспечивается порядок периодических осмотров кранов, техническое обслуживание и ремонты, обеспечивающих содержание подъемного сооружения в исправном состоянии;</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 xml:space="preserve">специалистами, ответственными за содержание подъемных сооружений </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в работоспособном состоянии, не проводятся плановые проверки состояния рельсовых путей после каждых 24 смен работы крана;</w:t>
      </w:r>
    </w:p>
    <w:p w:rsidR="00CE48E3" w:rsidRPr="00BA68B5" w:rsidRDefault="00CE48E3" w:rsidP="00CE48E3">
      <w:pPr>
        <w:autoSpaceDE w:val="0"/>
        <w:autoSpaceDN w:val="0"/>
        <w:adjustRightInd w:val="0"/>
        <w:spacing w:after="0" w:line="360" w:lineRule="auto"/>
        <w:ind w:firstLine="709"/>
        <w:jc w:val="both"/>
        <w:rPr>
          <w:rFonts w:ascii="Times New Roman" w:hAnsi="Times New Roman" w:cs="Times New Roman"/>
          <w:sz w:val="28"/>
          <w:szCs w:val="28"/>
        </w:rPr>
      </w:pPr>
      <w:r w:rsidRPr="00BA68B5">
        <w:rPr>
          <w:rFonts w:ascii="Times New Roman" w:hAnsi="Times New Roman" w:cs="Times New Roman"/>
          <w:sz w:val="28"/>
          <w:szCs w:val="28"/>
        </w:rPr>
        <w:t>не своевременное проведение ежегодных проверок знаний обслуживающего персонала.</w:t>
      </w:r>
    </w:p>
    <w:p w:rsidR="00A47EFF" w:rsidRPr="00BA68B5" w:rsidRDefault="00A47EFF" w:rsidP="00421DDB">
      <w:pPr>
        <w:tabs>
          <w:tab w:val="left" w:pos="709"/>
        </w:tabs>
        <w:spacing w:after="0" w:line="240" w:lineRule="auto"/>
        <w:ind w:firstLine="709"/>
        <w:jc w:val="center"/>
        <w:rPr>
          <w:rFonts w:ascii="Times New Roman" w:eastAsia="Times New Roman" w:hAnsi="Times New Roman" w:cs="Times New Roman"/>
          <w:b/>
          <w:sz w:val="28"/>
          <w:szCs w:val="28"/>
          <w:lang w:eastAsia="ru-RU"/>
        </w:rPr>
      </w:pPr>
    </w:p>
    <w:p w:rsidR="004F7CB4" w:rsidRPr="00BA68B5" w:rsidRDefault="004F7CB4" w:rsidP="00421DDB">
      <w:pPr>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II.</w:t>
      </w:r>
      <w:r w:rsidRPr="00BA68B5">
        <w:rPr>
          <w:rFonts w:ascii="Times New Roman" w:eastAsia="Times New Roman" w:hAnsi="Times New Roman" w:cs="Times New Roman"/>
          <w:b/>
          <w:sz w:val="28"/>
          <w:szCs w:val="28"/>
          <w:lang w:eastAsia="ru-RU"/>
        </w:rPr>
        <w:tab/>
        <w:t>Федеральный государственный энергетический надзор и федеральный государственный надзор в области безопасности гидротехнических сооружений</w:t>
      </w:r>
    </w:p>
    <w:p w:rsidR="000A085D" w:rsidRPr="00BA68B5" w:rsidRDefault="000A085D" w:rsidP="00BA3CE9">
      <w:pPr>
        <w:pStyle w:val="affe"/>
      </w:pPr>
    </w:p>
    <w:p w:rsidR="00104043" w:rsidRPr="00BA68B5" w:rsidRDefault="00104043" w:rsidP="00421DDB">
      <w:pPr>
        <w:pStyle w:val="ConsPlusNormal"/>
        <w:tabs>
          <w:tab w:val="left" w:pos="709"/>
        </w:tabs>
        <w:spacing w:line="360" w:lineRule="auto"/>
        <w:ind w:firstLine="709"/>
        <w:jc w:val="center"/>
        <w:rPr>
          <w:rFonts w:ascii="Times New Roman" w:hAnsi="Times New Roman" w:cs="Times New Roman"/>
          <w:b/>
          <w:sz w:val="28"/>
          <w:szCs w:val="28"/>
        </w:rPr>
      </w:pPr>
      <w:r w:rsidRPr="00BA68B5">
        <w:rPr>
          <w:rFonts w:ascii="Times New Roman" w:hAnsi="Times New Roman" w:cs="Times New Roman"/>
          <w:b/>
          <w:sz w:val="28"/>
          <w:szCs w:val="28"/>
        </w:rPr>
        <w:t>Федеральный государственный энергетический надзор</w:t>
      </w:r>
    </w:p>
    <w:p w:rsidR="009A0EBF" w:rsidRPr="00BA68B5" w:rsidRDefault="009A0EBF" w:rsidP="00421DDB">
      <w:pPr>
        <w:pStyle w:val="ConsPlusNormal"/>
        <w:tabs>
          <w:tab w:val="left" w:pos="709"/>
        </w:tabs>
        <w:spacing w:line="360" w:lineRule="auto"/>
        <w:ind w:firstLine="709"/>
        <w:jc w:val="center"/>
        <w:rPr>
          <w:rFonts w:ascii="Times New Roman" w:hAnsi="Times New Roman" w:cs="Times New Roman"/>
          <w:sz w:val="4"/>
          <w:szCs w:val="4"/>
        </w:rPr>
      </w:pP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Федеральная служба по экологическому, технологическому и атомному надзору (Ростехнадзор) является федеральным органом исполнительной власти, осуществляющим функции по контролю и надзору в сфере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Федеральный государственный энергетический надзор регулируется Федеральными законами от 26 марта 2003 года № 35</w:t>
      </w:r>
      <w:r w:rsidR="00F46DF8" w:rsidRPr="00BA68B5">
        <w:rPr>
          <w:rFonts w:ascii="Times New Roman" w:hAnsi="Times New Roman"/>
          <w:sz w:val="28"/>
          <w:szCs w:val="28"/>
        </w:rPr>
        <w:t>-</w:t>
      </w:r>
      <w:r w:rsidRPr="00BA68B5">
        <w:rPr>
          <w:rFonts w:ascii="Times New Roman" w:hAnsi="Times New Roman"/>
          <w:sz w:val="28"/>
          <w:szCs w:val="28"/>
        </w:rPr>
        <w:t>ФЗ «Об электроэнергетике» и от 27 июля 2010 года № 190-ФЗ «О теплоснабжении» и направлен на предупреждение, выявление и пресечение нарушений в сфере энергетики субъектами электроэнергетики и потребителями электрической энергии, в сфере теплоснабжения теплоснабжающими и теплосетевыми организациями.</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Основными направлениями деятельности в сфере осуществления федерального государственного энергетического надзора являются:</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осуществление контрольно-надзорных мероприятий;</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принятие предусмотренных законодательством Российской Федерации мер по пресечению и (или) устранению последствий выявленных нарушений;</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привлечение нарушивших такие требования лиц к ответственности;</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 xml:space="preserve">рассмотрение материалов о совершении административных правонарушений, ответственность за совершение которых </w:t>
      </w:r>
      <w:r w:rsidR="00F33FB0" w:rsidRPr="00BA68B5">
        <w:rPr>
          <w:rFonts w:ascii="Times New Roman" w:hAnsi="Times New Roman"/>
          <w:sz w:val="28"/>
          <w:szCs w:val="28"/>
        </w:rPr>
        <w:t>предусмотрена частями</w:t>
      </w:r>
      <w:r w:rsidRPr="00BA68B5">
        <w:rPr>
          <w:rFonts w:ascii="Times New Roman" w:hAnsi="Times New Roman"/>
          <w:sz w:val="28"/>
          <w:szCs w:val="28"/>
        </w:rPr>
        <w:t xml:space="preserve"> 1-6 статьи 9.22, статьей 14.61 КоАП РФ в рамках реализации полномочий, предусмотренных Федеральным законом от 03.11.15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надзор в области энергосбережения, энергетической эффективности и энергетических обследований;</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согласование границ охранных зон и направление материалов для внесения в государственный кадастр недвижимости;</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выдача разрешений на допуск в эксплуатацию энергоустановок;</w:t>
      </w:r>
    </w:p>
    <w:p w:rsidR="00847701" w:rsidRPr="00BA68B5" w:rsidRDefault="00847701" w:rsidP="00E97141">
      <w:pPr>
        <w:pStyle w:val="affe"/>
        <w:spacing w:line="360" w:lineRule="auto"/>
        <w:ind w:firstLine="709"/>
        <w:rPr>
          <w:rFonts w:ascii="Times New Roman" w:hAnsi="Times New Roman"/>
          <w:sz w:val="28"/>
          <w:szCs w:val="28"/>
        </w:rPr>
      </w:pPr>
      <w:r w:rsidRPr="00BA68B5">
        <w:rPr>
          <w:rFonts w:ascii="Times New Roman" w:hAnsi="Times New Roman"/>
          <w:sz w:val="28"/>
          <w:szCs w:val="28"/>
        </w:rPr>
        <w:t>контроль хода подготовки объектов теплоснабжения к работе в осенне-зимний период и т.д.</w:t>
      </w:r>
    </w:p>
    <w:p w:rsidR="00E97141" w:rsidRPr="00BA68B5" w:rsidRDefault="00E97141" w:rsidP="00E97141">
      <w:pPr>
        <w:pStyle w:val="affe"/>
        <w:tabs>
          <w:tab w:val="left" w:pos="709"/>
        </w:tabs>
        <w:rPr>
          <w:lang w:eastAsia="ar-SA"/>
        </w:rPr>
      </w:pPr>
    </w:p>
    <w:p w:rsidR="00847701" w:rsidRPr="00BA68B5" w:rsidRDefault="00847701" w:rsidP="00847701">
      <w:pPr>
        <w:shd w:val="clear" w:color="auto" w:fill="FFFFFF"/>
        <w:suppressAutoHyphens/>
        <w:spacing w:after="160" w:line="360" w:lineRule="auto"/>
        <w:ind w:left="-57" w:firstLine="57"/>
        <w:jc w:val="center"/>
        <w:rPr>
          <w:rFonts w:ascii="Times New Roman" w:eastAsia="Times New Roman" w:hAnsi="Times New Roman" w:cs="Times New Roman"/>
          <w:sz w:val="28"/>
          <w:szCs w:val="28"/>
          <w:u w:val="single"/>
          <w:lang w:eastAsia="ar-SA"/>
        </w:rPr>
      </w:pPr>
      <w:r w:rsidRPr="00BA68B5">
        <w:rPr>
          <w:rFonts w:ascii="Times New Roman" w:eastAsia="Times New Roman" w:hAnsi="Times New Roman" w:cs="Times New Roman"/>
          <w:sz w:val="28"/>
          <w:szCs w:val="28"/>
          <w:u w:val="single"/>
          <w:lang w:eastAsia="ar-SA"/>
        </w:rPr>
        <w:t>Основные показатели контрольной и надзорной деятельности в сфере государственного энергетического надзора за 6 месяцев 2020 года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Надзорная деятельность инспекторского состава, осуществляющего государственный энергетический надзор, проводилась в соответствии с поручением Правительства Российской Федерации от 30 декабря 2019 г</w:t>
      </w:r>
      <w:r w:rsidR="00F46DF8" w:rsidRPr="00BA68B5">
        <w:rPr>
          <w:rFonts w:ascii="Times New Roman" w:eastAsia="Times New Roman" w:hAnsi="Times New Roman" w:cs="Times New Roman"/>
          <w:sz w:val="28"/>
          <w:szCs w:val="28"/>
          <w:lang w:eastAsia="ar-SA"/>
        </w:rPr>
        <w:t>ода</w:t>
      </w:r>
      <w:r w:rsidRPr="00BA68B5">
        <w:rPr>
          <w:rFonts w:ascii="Times New Roman" w:eastAsia="Times New Roman" w:hAnsi="Times New Roman" w:cs="Times New Roman"/>
          <w:sz w:val="28"/>
          <w:szCs w:val="28"/>
          <w:lang w:eastAsia="ar-SA"/>
        </w:rPr>
        <w:t xml:space="preserve"> № ДК-П9-11542, приказом Федеральной службы по экологическому, технологическому и атомному надзору от 15 января 2020 г</w:t>
      </w:r>
      <w:r w:rsidR="00F46DF8" w:rsidRPr="00BA68B5">
        <w:rPr>
          <w:rFonts w:ascii="Times New Roman" w:eastAsia="Times New Roman" w:hAnsi="Times New Roman" w:cs="Times New Roman"/>
          <w:sz w:val="28"/>
          <w:szCs w:val="28"/>
          <w:lang w:eastAsia="ar-SA"/>
        </w:rPr>
        <w:t>ода</w:t>
      </w:r>
      <w:r w:rsidRPr="00BA68B5">
        <w:rPr>
          <w:rFonts w:ascii="Times New Roman" w:eastAsia="Times New Roman" w:hAnsi="Times New Roman" w:cs="Times New Roman"/>
          <w:sz w:val="28"/>
          <w:szCs w:val="28"/>
          <w:lang w:eastAsia="ar-SA"/>
        </w:rPr>
        <w:t xml:space="preserve"> № 15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2020 году».</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Во исполнении Постановления Правительства Российской Федерации от 03.04.2020 №438 «Об </w:t>
      </w:r>
      <w:r w:rsidR="00F33FB0" w:rsidRPr="00BA68B5">
        <w:rPr>
          <w:rFonts w:ascii="Times New Roman" w:eastAsia="Times New Roman" w:hAnsi="Times New Roman" w:cs="Times New Roman"/>
          <w:sz w:val="28"/>
          <w:szCs w:val="28"/>
          <w:lang w:eastAsia="ar-SA"/>
        </w:rPr>
        <w:t>особенностях</w:t>
      </w:r>
      <w:r w:rsidRPr="00BA68B5">
        <w:rPr>
          <w:rFonts w:ascii="Times New Roman" w:eastAsia="Times New Roman" w:hAnsi="Times New Roman" w:cs="Times New Roman"/>
          <w:sz w:val="28"/>
          <w:szCs w:val="28"/>
          <w:lang w:eastAsia="ar-SA"/>
        </w:rPr>
        <w:t xml:space="preserve"> осуществления в 2020 году государственного контроля, муниципального контроля и о внесении изменений в пункт 7 Правил подготовки органами муниципального контроля ежегодных планов проведения плановых проверок юридических лиц и индивидуальных предпринимателей», проводились внеплановые проверки, основаниями для проведения которых являлись факты </w:t>
      </w:r>
      <w:r w:rsidR="00F33FB0" w:rsidRPr="00BA68B5">
        <w:rPr>
          <w:rFonts w:ascii="Times New Roman" w:eastAsia="Times New Roman" w:hAnsi="Times New Roman" w:cs="Times New Roman"/>
          <w:sz w:val="28"/>
          <w:szCs w:val="28"/>
          <w:lang w:eastAsia="ar-SA"/>
        </w:rPr>
        <w:t>причинения</w:t>
      </w:r>
      <w:r w:rsidRPr="00BA68B5">
        <w:rPr>
          <w:rFonts w:ascii="Times New Roman" w:eastAsia="Times New Roman" w:hAnsi="Times New Roman" w:cs="Times New Roman"/>
          <w:sz w:val="28"/>
          <w:szCs w:val="28"/>
          <w:lang w:eastAsia="ar-SA"/>
        </w:rPr>
        <w:t xml:space="preserve"> вреда жизни, здоровью граждан или угрозы причинения вреда жизни, здоровью граждан, проведение которых было согласовано  органами прокуратуры.</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Кроме этого, инспекторский состав энергетического надзора принимал участие в проверках опасных производственных объектов I класса опасности, на которых установлен  режим постоянного государственного контрол</w:t>
      </w:r>
      <w:r w:rsidR="00F33FB0" w:rsidRPr="00BA68B5">
        <w:rPr>
          <w:rFonts w:ascii="Times New Roman" w:eastAsia="Times New Roman" w:hAnsi="Times New Roman" w:cs="Times New Roman"/>
          <w:sz w:val="28"/>
          <w:szCs w:val="28"/>
          <w:lang w:eastAsia="ar-SA"/>
        </w:rPr>
        <w:t>я (</w:t>
      </w:r>
      <w:r w:rsidRPr="00BA68B5">
        <w:rPr>
          <w:rFonts w:ascii="Times New Roman" w:eastAsia="Times New Roman" w:hAnsi="Times New Roman" w:cs="Times New Roman"/>
          <w:sz w:val="28"/>
          <w:szCs w:val="28"/>
          <w:lang w:eastAsia="ar-SA"/>
        </w:rPr>
        <w:t>надзора).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Всего за 6 месяцев 2020 года в части осуществления государственного энергетического надзора Средне-Поволжским управлением Ростехнадзора было проведено 1759 проверок, из которых 62 плановых проверк</w:t>
      </w:r>
      <w:r w:rsidR="00F46DF8" w:rsidRPr="00BA68B5">
        <w:rPr>
          <w:rFonts w:ascii="Times New Roman" w:eastAsia="Times New Roman" w:hAnsi="Times New Roman" w:cs="Times New Roman"/>
          <w:sz w:val="28"/>
          <w:szCs w:val="28"/>
          <w:lang w:eastAsia="ar-SA"/>
        </w:rPr>
        <w:t>и</w:t>
      </w:r>
      <w:r w:rsidRPr="00BA68B5">
        <w:rPr>
          <w:rFonts w:ascii="Times New Roman" w:eastAsia="Times New Roman" w:hAnsi="Times New Roman" w:cs="Times New Roman"/>
          <w:sz w:val="28"/>
          <w:szCs w:val="28"/>
          <w:lang w:eastAsia="ar-SA"/>
        </w:rPr>
        <w:t>.</w:t>
      </w:r>
    </w:p>
    <w:p w:rsidR="00847701" w:rsidRPr="00BA68B5" w:rsidRDefault="00F46DF8"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За 6 месяцев 2020 года </w:t>
      </w:r>
      <w:r w:rsidR="00847701" w:rsidRPr="00BA68B5">
        <w:rPr>
          <w:rFonts w:ascii="Times New Roman" w:eastAsia="Times New Roman" w:hAnsi="Times New Roman" w:cs="Times New Roman"/>
          <w:sz w:val="28"/>
          <w:szCs w:val="28"/>
          <w:lang w:eastAsia="ar-SA"/>
        </w:rPr>
        <w:t>проведено 16</w:t>
      </w:r>
      <w:r w:rsidR="006465D4" w:rsidRPr="00BA68B5">
        <w:rPr>
          <w:rFonts w:ascii="Times New Roman" w:eastAsia="Times New Roman" w:hAnsi="Times New Roman" w:cs="Times New Roman"/>
          <w:sz w:val="28"/>
          <w:szCs w:val="28"/>
          <w:lang w:eastAsia="ar-SA"/>
        </w:rPr>
        <w:t>97</w:t>
      </w:r>
      <w:r w:rsidR="00847701" w:rsidRPr="00BA68B5">
        <w:rPr>
          <w:rFonts w:ascii="Times New Roman" w:eastAsia="Times New Roman" w:hAnsi="Times New Roman" w:cs="Times New Roman"/>
          <w:sz w:val="28"/>
          <w:szCs w:val="28"/>
          <w:lang w:eastAsia="ar-SA"/>
        </w:rPr>
        <w:t xml:space="preserve"> внеплановых проверок, из которых 180 по контролю выполнения ранее выданных предписаний, 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В ходе обследований было выявлено 9747 нарушений обязательных требований норм и правил, из них 447 нарушений выявлено в ходе проведения плановых проверок.</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Общее количество административных наказаний, наложенных по итогам проверок</w:t>
      </w:r>
      <w:r w:rsidR="00F33FB0"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w:t>
      </w:r>
      <w:r w:rsidR="006465D4" w:rsidRPr="00BA68B5">
        <w:rPr>
          <w:rFonts w:ascii="Times New Roman" w:eastAsia="Times New Roman" w:hAnsi="Times New Roman" w:cs="Times New Roman"/>
          <w:sz w:val="28"/>
          <w:szCs w:val="28"/>
          <w:lang w:eastAsia="ar-SA"/>
        </w:rPr>
        <w:t>составило</w:t>
      </w:r>
      <w:r w:rsidRPr="00BA68B5">
        <w:rPr>
          <w:rFonts w:ascii="Times New Roman" w:eastAsia="Times New Roman" w:hAnsi="Times New Roman" w:cs="Times New Roman"/>
          <w:sz w:val="28"/>
          <w:szCs w:val="28"/>
          <w:lang w:eastAsia="ar-SA"/>
        </w:rPr>
        <w:t xml:space="preserve"> 524, из них административных штрафов - 487, предупреждений - 23. Общая сумма наложенных штрафов составила 10031 тыс. рублей, взыскано 3290 тыс. рублей.</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За 6 месяцев 2020 года допущено в эксплуатацию 388 новых и реконструированных энергоустановок.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За отчетный период проведена проверка знаний у 7278 человек электротехнического и 2648 человек теплотехнического персонала.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При проведении анализа по результатам проверок поднадзорных организаций установлены следующие типичные нарушения норм и правил:</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 xml:space="preserve">несвоевременное и </w:t>
      </w:r>
      <w:r w:rsidR="007506F4" w:rsidRPr="00BA68B5">
        <w:rPr>
          <w:rFonts w:ascii="Times New Roman" w:eastAsia="Times New Roman" w:hAnsi="Times New Roman" w:cs="Times New Roman"/>
          <w:sz w:val="28"/>
          <w:szCs w:val="28"/>
          <w:lang w:eastAsia="ar-SA"/>
        </w:rPr>
        <w:t>не</w:t>
      </w:r>
      <w:r w:rsidRPr="00BA68B5">
        <w:rPr>
          <w:rFonts w:ascii="Times New Roman" w:eastAsia="Times New Roman" w:hAnsi="Times New Roman" w:cs="Times New Roman"/>
          <w:sz w:val="28"/>
          <w:szCs w:val="28"/>
          <w:lang w:eastAsia="ar-SA"/>
        </w:rPr>
        <w:t>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 xml:space="preserve"> проведение не в полном объеме необходимых испытаний электрооборудования;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 xml:space="preserve">неквалифицированный подбор электротехнического персонала, проведение инструктажей по безопасности труда;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низкая производственная дисциплина;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отсутствие в полном объёме необходимой при эксплуатации энергооборудования технической документации;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 проведение в установленные сроки режимно-наладочных работ на тепловых энергоустановках;</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 проведение технического освидетельствования оборудования</w:t>
      </w:r>
      <w:r w:rsidR="007506F4"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отработавшего нормативный срок эксплуатации;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нарушение периодичности проведения испытаний и диагностики, тепловых энергоустановок промышленных и энергоснабжающих предприятий.</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рамках реализации полномочий, предусмотренных Федеральным законом от 03.11.</w:t>
      </w:r>
      <w:r w:rsidR="006465D4" w:rsidRPr="00BA68B5">
        <w:rPr>
          <w:rFonts w:ascii="Times New Roman" w:eastAsia="Times New Roman" w:hAnsi="Times New Roman" w:cs="Times New Roman"/>
          <w:sz w:val="28"/>
          <w:szCs w:val="28"/>
          <w:lang w:eastAsia="ar-SA"/>
        </w:rPr>
        <w:t>20</w:t>
      </w:r>
      <w:r w:rsidRPr="00BA68B5">
        <w:rPr>
          <w:rFonts w:ascii="Times New Roman" w:eastAsia="Times New Roman" w:hAnsi="Times New Roman" w:cs="Times New Roman"/>
          <w:sz w:val="28"/>
          <w:szCs w:val="28"/>
          <w:lang w:eastAsia="ar-SA"/>
        </w:rPr>
        <w:t>15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r w:rsidR="009E1014"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осуществляется работа по рассмотрению материалов о совершении административных правонарушений, ответственность за совершение которых предусмотрена ч.1-6 ст. 9.22, ст. 14.61 КоАП РФ.</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За отчетный период в </w:t>
      </w:r>
      <w:r w:rsidR="00730F09" w:rsidRPr="00BA68B5">
        <w:rPr>
          <w:rFonts w:ascii="Times New Roman" w:eastAsia="Times New Roman" w:hAnsi="Times New Roman" w:cs="Times New Roman"/>
          <w:sz w:val="28"/>
          <w:szCs w:val="28"/>
          <w:lang w:eastAsia="ar-SA"/>
        </w:rPr>
        <w:t>Средне-Поволжское у</w:t>
      </w:r>
      <w:r w:rsidRPr="00BA68B5">
        <w:rPr>
          <w:rFonts w:ascii="Times New Roman" w:eastAsia="Times New Roman" w:hAnsi="Times New Roman" w:cs="Times New Roman"/>
          <w:sz w:val="28"/>
          <w:szCs w:val="28"/>
          <w:lang w:eastAsia="ar-SA"/>
        </w:rPr>
        <w:t>правление</w:t>
      </w:r>
      <w:r w:rsidR="00730F09" w:rsidRPr="00BA68B5">
        <w:rPr>
          <w:rFonts w:ascii="Times New Roman" w:eastAsia="Times New Roman" w:hAnsi="Times New Roman" w:cs="Times New Roman"/>
          <w:sz w:val="28"/>
          <w:szCs w:val="28"/>
          <w:lang w:eastAsia="ar-SA"/>
        </w:rPr>
        <w:t xml:space="preserve"> Ростехнадзора </w:t>
      </w:r>
      <w:r w:rsidRPr="00BA68B5">
        <w:rPr>
          <w:rFonts w:ascii="Times New Roman" w:eastAsia="Times New Roman" w:hAnsi="Times New Roman" w:cs="Times New Roman"/>
          <w:sz w:val="28"/>
          <w:szCs w:val="28"/>
          <w:lang w:eastAsia="ar-SA"/>
        </w:rPr>
        <w:t xml:space="preserve"> поступило 116 заявлений о совершении административных правонарушений, ответственность за совершение которых предусмотрена ч.1-6 ст. 9.22 и ст. 14.61 КоАП Российской Федерации, из них:</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по ч.1-6 ст. 9.22 КоАП Российской Федерации –</w:t>
      </w:r>
      <w:r w:rsidR="00E5123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 xml:space="preserve">92 заявления, </w:t>
      </w:r>
      <w:r w:rsidR="00E51236" w:rsidRPr="00BA68B5">
        <w:rPr>
          <w:rFonts w:ascii="Times New Roman" w:eastAsia="Times New Roman" w:hAnsi="Times New Roman" w:cs="Times New Roman"/>
          <w:sz w:val="28"/>
          <w:szCs w:val="28"/>
          <w:lang w:eastAsia="ar-SA"/>
        </w:rPr>
        <w:t>проведено</w:t>
      </w:r>
      <w:r w:rsidRPr="00BA68B5">
        <w:rPr>
          <w:rFonts w:ascii="Times New Roman" w:eastAsia="Times New Roman" w:hAnsi="Times New Roman" w:cs="Times New Roman"/>
          <w:sz w:val="28"/>
          <w:szCs w:val="28"/>
          <w:lang w:eastAsia="ar-SA"/>
        </w:rPr>
        <w:t xml:space="preserve"> </w:t>
      </w:r>
      <w:r w:rsidR="00E51236" w:rsidRPr="00BA68B5">
        <w:rPr>
          <w:rFonts w:ascii="Times New Roman" w:eastAsia="Times New Roman" w:hAnsi="Times New Roman" w:cs="Times New Roman"/>
          <w:sz w:val="28"/>
          <w:szCs w:val="28"/>
          <w:lang w:eastAsia="ar-SA"/>
        </w:rPr>
        <w:t xml:space="preserve">111 </w:t>
      </w:r>
      <w:r w:rsidRPr="00BA68B5">
        <w:rPr>
          <w:rFonts w:ascii="Times New Roman" w:eastAsia="Times New Roman" w:hAnsi="Times New Roman" w:cs="Times New Roman"/>
          <w:sz w:val="28"/>
          <w:szCs w:val="28"/>
          <w:lang w:eastAsia="ar-SA"/>
        </w:rPr>
        <w:t>а</w:t>
      </w:r>
      <w:r w:rsidR="00E51236" w:rsidRPr="00BA68B5">
        <w:rPr>
          <w:rFonts w:ascii="Times New Roman" w:eastAsia="Times New Roman" w:hAnsi="Times New Roman" w:cs="Times New Roman"/>
          <w:sz w:val="28"/>
          <w:szCs w:val="28"/>
          <w:lang w:eastAsia="ar-SA"/>
        </w:rPr>
        <w:t xml:space="preserve">дминистративных расследований. </w:t>
      </w:r>
      <w:r w:rsidRPr="00BA68B5">
        <w:rPr>
          <w:rFonts w:ascii="Times New Roman" w:eastAsia="Times New Roman" w:hAnsi="Times New Roman" w:cs="Times New Roman"/>
          <w:sz w:val="28"/>
          <w:szCs w:val="28"/>
          <w:lang w:eastAsia="ar-SA"/>
        </w:rPr>
        <w:t>Составлен</w:t>
      </w:r>
      <w:r w:rsidR="00E51236" w:rsidRPr="00BA68B5">
        <w:rPr>
          <w:rFonts w:ascii="Times New Roman" w:eastAsia="Times New Roman" w:hAnsi="Times New Roman" w:cs="Times New Roman"/>
          <w:sz w:val="28"/>
          <w:szCs w:val="28"/>
          <w:lang w:eastAsia="ar-SA"/>
        </w:rPr>
        <w:t>о</w:t>
      </w:r>
      <w:r w:rsidRPr="00BA68B5">
        <w:rPr>
          <w:rFonts w:ascii="Times New Roman" w:eastAsia="Times New Roman" w:hAnsi="Times New Roman" w:cs="Times New Roman"/>
          <w:sz w:val="28"/>
          <w:szCs w:val="28"/>
          <w:lang w:eastAsia="ar-SA"/>
        </w:rPr>
        <w:t xml:space="preserve"> 104 протокола по ч. 1 - 6 ст. 9.22 КоАП Российской Федерации. Наложено административных штрафов на сумму 3492 тыс. руб</w:t>
      </w:r>
      <w:r w:rsidR="00E51236" w:rsidRPr="00BA68B5">
        <w:rPr>
          <w:rFonts w:ascii="Times New Roman" w:eastAsia="Times New Roman" w:hAnsi="Times New Roman" w:cs="Times New Roman"/>
          <w:sz w:val="28"/>
          <w:szCs w:val="28"/>
          <w:lang w:eastAsia="ar-SA"/>
        </w:rPr>
        <w:t>лей</w:t>
      </w:r>
      <w:r w:rsidRPr="00BA68B5">
        <w:rPr>
          <w:rFonts w:ascii="Times New Roman" w:eastAsia="Times New Roman" w:hAnsi="Times New Roman" w:cs="Times New Roman"/>
          <w:sz w:val="28"/>
          <w:szCs w:val="28"/>
          <w:lang w:eastAsia="ar-SA"/>
        </w:rPr>
        <w:t>, взыскано – 160</w:t>
      </w:r>
      <w:r w:rsidR="00E5123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тыс.</w:t>
      </w:r>
      <w:r w:rsidR="00E51236" w:rsidRPr="00BA68B5">
        <w:rPr>
          <w:rFonts w:ascii="Times New Roman" w:eastAsia="Times New Roman" w:hAnsi="Times New Roman" w:cs="Times New Roman"/>
          <w:sz w:val="28"/>
          <w:szCs w:val="28"/>
          <w:lang w:eastAsia="ar-SA"/>
        </w:rPr>
        <w:t xml:space="preserve"> рублей.</w:t>
      </w:r>
      <w:r w:rsidRPr="00BA68B5">
        <w:rPr>
          <w:rFonts w:ascii="Times New Roman" w:eastAsia="Times New Roman" w:hAnsi="Times New Roman" w:cs="Times New Roman"/>
          <w:sz w:val="28"/>
          <w:szCs w:val="28"/>
          <w:lang w:eastAsia="ar-SA"/>
        </w:rPr>
        <w:t xml:space="preserve"> Вынесено 2 определения об отказе в возбуждении  дела об </w:t>
      </w:r>
      <w:r w:rsidR="00E51236" w:rsidRPr="00BA68B5">
        <w:rPr>
          <w:rFonts w:ascii="Times New Roman" w:eastAsia="Times New Roman" w:hAnsi="Times New Roman" w:cs="Times New Roman"/>
          <w:sz w:val="28"/>
          <w:szCs w:val="28"/>
          <w:lang w:eastAsia="ar-SA"/>
        </w:rPr>
        <w:t xml:space="preserve">административном правонарушении. </w:t>
      </w:r>
      <w:r w:rsidRPr="00BA68B5">
        <w:rPr>
          <w:rFonts w:ascii="Times New Roman" w:eastAsia="Times New Roman" w:hAnsi="Times New Roman" w:cs="Times New Roman"/>
          <w:sz w:val="28"/>
          <w:szCs w:val="28"/>
          <w:lang w:eastAsia="ar-SA"/>
        </w:rPr>
        <w:t>Вынесено 28 постановлений об отказе привлечения к административной ответственности по</w:t>
      </w:r>
      <w:r w:rsidR="00E5123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ч. 1 - 6 ст. 9.22 КоАП Российской Федерации.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по ст. 14.61 КоАП РФ поступило 24 заявления,</w:t>
      </w:r>
      <w:r w:rsidR="00E5123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по 5 заявлениям проведены административные расследования.</w:t>
      </w:r>
      <w:r w:rsidR="00E5123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Составлено</w:t>
      </w:r>
      <w:r w:rsidR="00E5123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13 протоколов. Наложено административных штрафов на сумму 816 тыс. руб</w:t>
      </w:r>
      <w:r w:rsidR="00E51236" w:rsidRPr="00BA68B5">
        <w:rPr>
          <w:rFonts w:ascii="Times New Roman" w:eastAsia="Times New Roman" w:hAnsi="Times New Roman" w:cs="Times New Roman"/>
          <w:sz w:val="28"/>
          <w:szCs w:val="28"/>
          <w:lang w:eastAsia="ar-SA"/>
        </w:rPr>
        <w:t>лей</w:t>
      </w:r>
      <w:r w:rsidRPr="00BA68B5">
        <w:rPr>
          <w:rFonts w:ascii="Times New Roman" w:eastAsia="Times New Roman" w:hAnsi="Times New Roman" w:cs="Times New Roman"/>
          <w:sz w:val="28"/>
          <w:szCs w:val="28"/>
          <w:lang w:eastAsia="ar-SA"/>
        </w:rPr>
        <w:t>, взыскано – 90 тыс.</w:t>
      </w:r>
      <w:r w:rsidR="00E51236" w:rsidRPr="00BA68B5">
        <w:rPr>
          <w:rFonts w:ascii="Times New Roman" w:eastAsia="Times New Roman" w:hAnsi="Times New Roman" w:cs="Times New Roman"/>
          <w:sz w:val="28"/>
          <w:szCs w:val="28"/>
          <w:lang w:eastAsia="ar-SA"/>
        </w:rPr>
        <w:t xml:space="preserve"> рублей. </w:t>
      </w:r>
      <w:r w:rsidRPr="00BA68B5">
        <w:rPr>
          <w:rFonts w:ascii="Times New Roman" w:eastAsia="Times New Roman" w:hAnsi="Times New Roman" w:cs="Times New Roman"/>
          <w:sz w:val="28"/>
          <w:szCs w:val="28"/>
          <w:lang w:eastAsia="ar-SA"/>
        </w:rPr>
        <w:t>Вынесено 5 определений об отказе в возбуждении  дела об административном правонарушении. Вынесено 8 постановлений об отказе привлечения к административной ответственности</w:t>
      </w:r>
      <w:r w:rsidR="00F33FB0"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по ст. 14.61 КоАП Российской Федерации.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За неуплату административного штрафа в срок, предусмотренный КоАП РФ</w:t>
      </w:r>
      <w:r w:rsidR="00AB089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в адрес мировых судей направлено 15 протоколов для привлечения юридических лиц по части 1 статьи 20.25 КоАП РФ</w:t>
      </w:r>
      <w:r w:rsidR="006465D4" w:rsidRPr="00BA68B5">
        <w:rPr>
          <w:rFonts w:ascii="Times New Roman" w:eastAsia="Times New Roman" w:hAnsi="Times New Roman" w:cs="Times New Roman"/>
          <w:sz w:val="28"/>
          <w:szCs w:val="28"/>
          <w:lang w:eastAsia="ar-SA"/>
        </w:rPr>
        <w:t>.</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За нарушение требования п. 7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w:t>
      </w:r>
      <w:r w:rsidR="00AB0893" w:rsidRPr="00BA68B5">
        <w:rPr>
          <w:rFonts w:ascii="Times New Roman" w:eastAsia="Times New Roman" w:hAnsi="Times New Roman" w:cs="Times New Roman"/>
          <w:sz w:val="28"/>
          <w:szCs w:val="28"/>
          <w:lang w:eastAsia="ar-SA"/>
        </w:rPr>
        <w:t xml:space="preserve">от 04.05.2012 </w:t>
      </w:r>
      <w:r w:rsidRPr="00BA68B5">
        <w:rPr>
          <w:rFonts w:ascii="Times New Roman" w:eastAsia="Times New Roman" w:hAnsi="Times New Roman" w:cs="Times New Roman"/>
          <w:sz w:val="28"/>
          <w:szCs w:val="28"/>
          <w:lang w:eastAsia="ar-SA"/>
        </w:rPr>
        <w:t xml:space="preserve">№ 442 от 04.05.2012, </w:t>
      </w:r>
      <w:r w:rsidR="00AB0893" w:rsidRPr="00BA68B5">
        <w:rPr>
          <w:rFonts w:ascii="Times New Roman" w:eastAsia="Times New Roman" w:hAnsi="Times New Roman" w:cs="Times New Roman"/>
          <w:sz w:val="28"/>
          <w:szCs w:val="28"/>
          <w:lang w:eastAsia="ar-SA"/>
        </w:rPr>
        <w:t>п</w:t>
      </w:r>
      <w:r w:rsidRPr="00BA68B5">
        <w:rPr>
          <w:rFonts w:ascii="Times New Roman" w:eastAsia="Times New Roman" w:hAnsi="Times New Roman" w:cs="Times New Roman"/>
          <w:sz w:val="28"/>
          <w:szCs w:val="28"/>
          <w:lang w:eastAsia="ar-SA"/>
        </w:rPr>
        <w:t>отребителям электрической энергии выдано 39 представлени</w:t>
      </w:r>
      <w:r w:rsidR="00AB0893" w:rsidRPr="00BA68B5">
        <w:rPr>
          <w:rFonts w:ascii="Times New Roman" w:eastAsia="Times New Roman" w:hAnsi="Times New Roman" w:cs="Times New Roman"/>
          <w:sz w:val="28"/>
          <w:szCs w:val="28"/>
          <w:lang w:eastAsia="ar-SA"/>
        </w:rPr>
        <w:t xml:space="preserve">й </w:t>
      </w:r>
      <w:r w:rsidRPr="00BA68B5">
        <w:rPr>
          <w:rFonts w:ascii="Times New Roman" w:eastAsia="Times New Roman" w:hAnsi="Times New Roman" w:cs="Times New Roman"/>
          <w:sz w:val="28"/>
          <w:szCs w:val="28"/>
          <w:lang w:eastAsia="ar-SA"/>
        </w:rPr>
        <w:t>об устранении причин и условий, способствовавших совершению административного правонарушении.</w:t>
      </w:r>
      <w:r w:rsidR="00AB089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За непринятия мер по представлениям предусмотрена административная ответственность по ст. 19.6 КоАП РФ.</w:t>
      </w:r>
      <w:r w:rsidR="00AB089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В настоящее время в суде рассматривается 2 материала об административном правонарушении в отношении должностного лица за неприятие мер</w:t>
      </w:r>
      <w:r w:rsidR="00AB089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Направлено 32</w:t>
      </w:r>
      <w:r w:rsidR="00AB089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обращени</w:t>
      </w:r>
      <w:r w:rsidR="00AB0893" w:rsidRPr="00BA68B5">
        <w:rPr>
          <w:rFonts w:ascii="Times New Roman" w:eastAsia="Times New Roman" w:hAnsi="Times New Roman" w:cs="Times New Roman"/>
          <w:sz w:val="28"/>
          <w:szCs w:val="28"/>
          <w:lang w:eastAsia="ar-SA"/>
        </w:rPr>
        <w:t>я</w:t>
      </w:r>
      <w:r w:rsidRPr="00BA68B5">
        <w:rPr>
          <w:rFonts w:ascii="Times New Roman" w:eastAsia="Times New Roman" w:hAnsi="Times New Roman" w:cs="Times New Roman"/>
          <w:sz w:val="28"/>
          <w:szCs w:val="28"/>
          <w:lang w:eastAsia="ar-SA"/>
        </w:rPr>
        <w:t xml:space="preserve"> судебным приставам о возбуждении исполнительного производства за неуплату административных штрафов с истекшим сроком оплаты.</w:t>
      </w:r>
    </w:p>
    <w:p w:rsidR="00AB0893" w:rsidRPr="00BA68B5" w:rsidRDefault="00AB0893" w:rsidP="00AB0893">
      <w:pPr>
        <w:shd w:val="clear" w:color="auto" w:fill="FFFFFF"/>
        <w:suppressAutoHyphens/>
        <w:spacing w:after="160" w:line="240" w:lineRule="auto"/>
        <w:ind w:left="-57" w:firstLine="567"/>
        <w:jc w:val="center"/>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Аварийность и травматизм</w:t>
      </w:r>
    </w:p>
    <w:p w:rsidR="00AB0893" w:rsidRPr="00BA68B5" w:rsidRDefault="00AB0893" w:rsidP="00AB0893">
      <w:pPr>
        <w:spacing w:after="0" w:line="240" w:lineRule="auto"/>
        <w:ind w:left="-57" w:firstLine="680"/>
        <w:jc w:val="both"/>
        <w:rPr>
          <w:rFonts w:ascii="Times New Roman" w:eastAsia="Times New Roman" w:hAnsi="Times New Roman" w:cs="Times New Roman"/>
          <w:bCs/>
          <w:sz w:val="28"/>
          <w:szCs w:val="28"/>
          <w:lang w:eastAsia="ru-RU"/>
        </w:rPr>
      </w:pPr>
      <w:r w:rsidRPr="00BA68B5">
        <w:rPr>
          <w:rFonts w:ascii="Times New Roman" w:eastAsia="Times New Roman" w:hAnsi="Times New Roman" w:cs="Times New Roman"/>
          <w:bCs/>
          <w:sz w:val="28"/>
          <w:szCs w:val="28"/>
          <w:lang w:eastAsia="ru-RU"/>
        </w:rPr>
        <w:t>Динамика аварийности и травматизма за 6 месяцев 2019-2020 годов</w:t>
      </w:r>
    </w:p>
    <w:p w:rsidR="00AB0893" w:rsidRPr="00BA68B5" w:rsidRDefault="00AB0893" w:rsidP="00AB0893">
      <w:pPr>
        <w:spacing w:after="0" w:line="240" w:lineRule="auto"/>
        <w:ind w:left="-57" w:firstLine="680"/>
        <w:jc w:val="both"/>
        <w:rPr>
          <w:rFonts w:ascii="Times New Roman" w:eastAsia="Times New Roman" w:hAnsi="Times New Roman" w:cs="Times New Roman"/>
          <w:sz w:val="28"/>
          <w:szCs w:val="28"/>
          <w:lang w:eastAsia="ru-RU"/>
        </w:rPr>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94"/>
        <w:gridCol w:w="3124"/>
        <w:gridCol w:w="2835"/>
      </w:tblGrid>
      <w:tr w:rsidR="00AB0893" w:rsidRPr="00BA68B5" w:rsidTr="009E1014">
        <w:trPr>
          <w:trHeight w:val="562"/>
          <w:jc w:val="center"/>
        </w:trPr>
        <w:tc>
          <w:tcPr>
            <w:tcW w:w="3694" w:type="dxa"/>
            <w:shd w:val="clear" w:color="auto" w:fill="auto"/>
            <w:tcMar>
              <w:top w:w="15" w:type="dxa"/>
              <w:left w:w="15" w:type="dxa"/>
              <w:bottom w:w="0" w:type="dxa"/>
              <w:right w:w="15" w:type="dxa"/>
            </w:tcMar>
            <w:vAlign w:val="center"/>
            <w:hideMark/>
          </w:tcPr>
          <w:p w:rsidR="00AB0893" w:rsidRPr="00BA68B5" w:rsidRDefault="00AB0893" w:rsidP="00AB0893">
            <w:pPr>
              <w:spacing w:after="0" w:line="240" w:lineRule="auto"/>
              <w:ind w:left="135" w:right="127"/>
              <w:jc w:val="both"/>
              <w:rPr>
                <w:rFonts w:ascii="Times New Roman" w:eastAsia="Times New Roman" w:hAnsi="Times New Roman" w:cs="Times New Roman"/>
                <w:sz w:val="16"/>
                <w:szCs w:val="16"/>
                <w:lang w:eastAsia="ru-RU"/>
              </w:rPr>
            </w:pPr>
          </w:p>
        </w:tc>
        <w:tc>
          <w:tcPr>
            <w:tcW w:w="3124" w:type="dxa"/>
            <w:shd w:val="clear" w:color="auto" w:fill="auto"/>
            <w:tcMar>
              <w:top w:w="15" w:type="dxa"/>
              <w:left w:w="15" w:type="dxa"/>
              <w:bottom w:w="0" w:type="dxa"/>
              <w:right w:w="15" w:type="dxa"/>
            </w:tcMar>
            <w:vAlign w:val="center"/>
            <w:hideMark/>
          </w:tcPr>
          <w:p w:rsidR="00AB0893" w:rsidRPr="00BA68B5" w:rsidRDefault="009E1014" w:rsidP="009E101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 xml:space="preserve">6 месяцев </w:t>
            </w:r>
            <w:r w:rsidR="00AB0893" w:rsidRPr="00BA68B5">
              <w:rPr>
                <w:rFonts w:ascii="Times New Roman" w:eastAsia="Times New Roman" w:hAnsi="Times New Roman" w:cs="Times New Roman"/>
                <w:sz w:val="24"/>
                <w:szCs w:val="24"/>
                <w:lang w:eastAsia="ru-RU"/>
              </w:rPr>
              <w:t>2019 год</w:t>
            </w:r>
          </w:p>
        </w:tc>
        <w:tc>
          <w:tcPr>
            <w:tcW w:w="2835" w:type="dxa"/>
            <w:shd w:val="clear" w:color="auto" w:fill="auto"/>
            <w:tcMar>
              <w:top w:w="15" w:type="dxa"/>
              <w:left w:w="15" w:type="dxa"/>
              <w:bottom w:w="0" w:type="dxa"/>
              <w:right w:w="15" w:type="dxa"/>
            </w:tcMar>
            <w:vAlign w:val="center"/>
            <w:hideMark/>
          </w:tcPr>
          <w:p w:rsidR="00AB0893" w:rsidRPr="00BA68B5" w:rsidRDefault="009E1014"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 xml:space="preserve">6 месяцев </w:t>
            </w:r>
            <w:r w:rsidR="00AB0893" w:rsidRPr="00BA68B5">
              <w:rPr>
                <w:rFonts w:ascii="Times New Roman" w:eastAsia="Times New Roman" w:hAnsi="Times New Roman" w:cs="Times New Roman"/>
                <w:bCs/>
                <w:sz w:val="24"/>
                <w:szCs w:val="24"/>
                <w:lang w:eastAsia="ru-RU"/>
              </w:rPr>
              <w:t>2020 год</w:t>
            </w:r>
          </w:p>
        </w:tc>
      </w:tr>
      <w:tr w:rsidR="00AB0893" w:rsidRPr="00BA68B5" w:rsidTr="009E1014">
        <w:trPr>
          <w:trHeight w:val="360"/>
          <w:jc w:val="center"/>
        </w:trPr>
        <w:tc>
          <w:tcPr>
            <w:tcW w:w="3694"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Число аварий</w:t>
            </w:r>
          </w:p>
        </w:tc>
        <w:tc>
          <w:tcPr>
            <w:tcW w:w="3124"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AB0893" w:rsidRPr="00BA68B5" w:rsidTr="009E1014">
        <w:trPr>
          <w:trHeight w:val="394"/>
          <w:jc w:val="center"/>
        </w:trPr>
        <w:tc>
          <w:tcPr>
            <w:tcW w:w="3694"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Групповые несчастные случаи</w:t>
            </w:r>
          </w:p>
        </w:tc>
        <w:tc>
          <w:tcPr>
            <w:tcW w:w="3124"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r>
      <w:tr w:rsidR="00AB0893" w:rsidRPr="00BA68B5" w:rsidTr="009E1014">
        <w:trPr>
          <w:trHeight w:val="401"/>
          <w:jc w:val="center"/>
        </w:trPr>
        <w:tc>
          <w:tcPr>
            <w:tcW w:w="3694"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bCs/>
                <w:sz w:val="24"/>
                <w:szCs w:val="24"/>
                <w:lang w:eastAsia="ru-RU"/>
              </w:rPr>
              <w:t>Несчастные случаи со смертельным исходом</w:t>
            </w:r>
          </w:p>
        </w:tc>
        <w:tc>
          <w:tcPr>
            <w:tcW w:w="3124"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0</w:t>
            </w:r>
          </w:p>
        </w:tc>
        <w:tc>
          <w:tcPr>
            <w:tcW w:w="2835" w:type="dxa"/>
            <w:shd w:val="clear" w:color="auto" w:fill="auto"/>
            <w:tcMar>
              <w:top w:w="15" w:type="dxa"/>
              <w:left w:w="15" w:type="dxa"/>
              <w:bottom w:w="0" w:type="dxa"/>
              <w:right w:w="15" w:type="dxa"/>
            </w:tcMar>
            <w:hideMark/>
          </w:tcPr>
          <w:p w:rsidR="00AB0893" w:rsidRPr="00BA68B5" w:rsidRDefault="00AB0893" w:rsidP="006465D4">
            <w:pPr>
              <w:spacing w:after="0" w:line="240" w:lineRule="auto"/>
              <w:ind w:left="135" w:right="127"/>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r>
    </w:tbl>
    <w:p w:rsidR="00730F09" w:rsidRPr="00BA68B5" w:rsidRDefault="00730F09" w:rsidP="00730F09">
      <w:pPr>
        <w:pStyle w:val="affe"/>
        <w:rPr>
          <w:lang w:eastAsia="ar-SA"/>
        </w:rPr>
      </w:pP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2020 году в целях повышения эффективности контрольно-надзорной деятельности Средне-Поволжским управлением Ростехнадзора были поставлены задачи и определены приоритетные направления по профилактической работе предотвращения аварий и смертельного травматизма на предприятиях, эксплуатирующих энергоустановки. В целях реализации поставленных задач регулярно проводились мероприятия по профилактике аварий и травматизма.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целях предупреждения аварийности и травматизма в отчетный период использовался широкий спектр профилактических мероприятий, а именно:</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размещение на официальном сайте информации о результатах проведения контрольно-надзорных мероприятий;</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информирование, посредством информационных писем подконтрольных субъектов по вопросам соблюдения обязательных требований в случае изменения обязательных требований и содержания новых нормативных правовых актов, устанавливающих обязательные требования;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информирование, посредством информационных писем, подконтрольных субъектов по вопросам причин аварийности и травматизма, выявленным по результатам расследования аварий и несчастных случаев со смертельным исходом;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информирование неопределенного круга подконтрольных субъектов посредством средств массовой информации в журнале «Промышленность и безопасность», систематически публиковались статьи по различной тематике, включающую все направления контрольно-надзорной деятельности.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При проведении технической учебы с инспекторским персоналом проводится анализ причин и нарушений норм и правил, приведших к авариям и несчастным случаям на поднадзорных предприятиях.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адрес Средне-Поволжского управления Ростехнадзора регулярно поступают отчеты от поднадзорных организаций о проведении с работниками технической учебы и инструктажей по охране труда и правилам безопасности, направленным на профилактику аварийности и травматизма.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С целью профилактики травматизма</w:t>
      </w:r>
      <w:r w:rsidR="000F3B3F" w:rsidRPr="00BA68B5">
        <w:rPr>
          <w:rFonts w:ascii="Times New Roman" w:eastAsia="Times New Roman" w:hAnsi="Times New Roman" w:cs="Times New Roman"/>
          <w:sz w:val="28"/>
          <w:szCs w:val="28"/>
          <w:lang w:eastAsia="ar-SA"/>
        </w:rPr>
        <w:t xml:space="preserve"> 05 марта </w:t>
      </w:r>
      <w:r w:rsidRPr="00BA68B5">
        <w:rPr>
          <w:rFonts w:ascii="Times New Roman" w:eastAsia="Times New Roman" w:hAnsi="Times New Roman" w:cs="Times New Roman"/>
          <w:sz w:val="28"/>
          <w:szCs w:val="28"/>
          <w:lang w:eastAsia="ar-SA"/>
        </w:rPr>
        <w:t>2020</w:t>
      </w:r>
      <w:r w:rsidR="000F3B3F" w:rsidRPr="00BA68B5">
        <w:rPr>
          <w:rFonts w:ascii="Times New Roman" w:eastAsia="Times New Roman" w:hAnsi="Times New Roman" w:cs="Times New Roman"/>
          <w:sz w:val="28"/>
          <w:szCs w:val="28"/>
          <w:lang w:eastAsia="ar-SA"/>
        </w:rPr>
        <w:t xml:space="preserve"> года </w:t>
      </w:r>
      <w:r w:rsidRPr="00BA68B5">
        <w:rPr>
          <w:rFonts w:ascii="Times New Roman" w:eastAsia="Times New Roman" w:hAnsi="Times New Roman" w:cs="Times New Roman"/>
          <w:sz w:val="28"/>
          <w:szCs w:val="28"/>
          <w:lang w:eastAsia="ar-SA"/>
        </w:rPr>
        <w:t>проведено совещание с участием представителей электросетевых предприятий, потребителей электрической энергии. На совещании были заслушаны представители электросетевой организации ЗАО «ССК» г.о. Самара,</w:t>
      </w:r>
      <w:r w:rsidR="00F33FB0" w:rsidRPr="00BA68B5">
        <w:rPr>
          <w:rFonts w:ascii="Times New Roman" w:eastAsia="Times New Roman" w:hAnsi="Times New Roman" w:cs="Times New Roman"/>
          <w:sz w:val="28"/>
          <w:szCs w:val="28"/>
          <w:lang w:eastAsia="ar-SA"/>
        </w:rPr>
        <w:t xml:space="preserve"> </w:t>
      </w:r>
      <w:r w:rsidR="00F33FB0" w:rsidRPr="00BA68B5">
        <w:rPr>
          <w:rFonts w:ascii="Times New Roman" w:eastAsia="Times New Roman" w:hAnsi="Times New Roman" w:cs="Times New Roman"/>
          <w:sz w:val="28"/>
          <w:szCs w:val="28"/>
          <w:lang w:eastAsia="ar-SA"/>
        </w:rPr>
        <w:br/>
        <w:t>АО</w:t>
      </w:r>
      <w:r w:rsidRPr="00BA68B5">
        <w:rPr>
          <w:rFonts w:ascii="Times New Roman" w:eastAsia="Times New Roman" w:hAnsi="Times New Roman" w:cs="Times New Roman"/>
          <w:sz w:val="28"/>
          <w:szCs w:val="28"/>
          <w:lang w:eastAsia="ar-SA"/>
        </w:rPr>
        <w:t xml:space="preserve"> «Метал</w:t>
      </w:r>
      <w:r w:rsidR="00F33FB0" w:rsidRPr="00BA68B5">
        <w:rPr>
          <w:rFonts w:ascii="Times New Roman" w:eastAsia="Times New Roman" w:hAnsi="Times New Roman" w:cs="Times New Roman"/>
          <w:sz w:val="28"/>
          <w:szCs w:val="28"/>
          <w:lang w:eastAsia="ar-SA"/>
        </w:rPr>
        <w:t>л</w:t>
      </w:r>
      <w:r w:rsidRPr="00BA68B5">
        <w:rPr>
          <w:rFonts w:ascii="Times New Roman" w:eastAsia="Times New Roman" w:hAnsi="Times New Roman" w:cs="Times New Roman"/>
          <w:sz w:val="28"/>
          <w:szCs w:val="28"/>
          <w:lang w:eastAsia="ar-SA"/>
        </w:rPr>
        <w:t>ист</w:t>
      </w:r>
      <w:r w:rsidR="00F33FB0"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Самара» о выполнении мероприятий, разработанных по результатам расследования причин несчастных случаев со смертельным исходом.</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В адрес электросетевых организаций </w:t>
      </w:r>
      <w:r w:rsidR="00730F09" w:rsidRPr="00BA68B5">
        <w:rPr>
          <w:rFonts w:ascii="Times New Roman" w:eastAsia="Times New Roman" w:hAnsi="Times New Roman" w:cs="Times New Roman"/>
          <w:sz w:val="28"/>
          <w:szCs w:val="28"/>
          <w:lang w:eastAsia="ar-SA"/>
        </w:rPr>
        <w:t>Средне-Поволжским у</w:t>
      </w:r>
      <w:r w:rsidRPr="00BA68B5">
        <w:rPr>
          <w:rFonts w:ascii="Times New Roman" w:eastAsia="Times New Roman" w:hAnsi="Times New Roman" w:cs="Times New Roman"/>
          <w:sz w:val="28"/>
          <w:szCs w:val="28"/>
          <w:lang w:eastAsia="ar-SA"/>
        </w:rPr>
        <w:t>правлением</w:t>
      </w:r>
      <w:r w:rsidR="00730F09" w:rsidRPr="00BA68B5">
        <w:rPr>
          <w:rFonts w:ascii="Times New Roman" w:eastAsia="Times New Roman" w:hAnsi="Times New Roman" w:cs="Times New Roman"/>
          <w:sz w:val="28"/>
          <w:szCs w:val="28"/>
          <w:lang w:eastAsia="ar-SA"/>
        </w:rPr>
        <w:t xml:space="preserve"> Ростехнадзора</w:t>
      </w:r>
      <w:r w:rsidRPr="00BA68B5">
        <w:rPr>
          <w:rFonts w:ascii="Times New Roman" w:eastAsia="Times New Roman" w:hAnsi="Times New Roman" w:cs="Times New Roman"/>
          <w:sz w:val="28"/>
          <w:szCs w:val="28"/>
          <w:lang w:eastAsia="ar-SA"/>
        </w:rPr>
        <w:t xml:space="preserve"> направлен запрос о предоставлении информации о передовом опыте профилактики травматизма, для дальнейшего применения его на </w:t>
      </w:r>
      <w:r w:rsidR="00730F09" w:rsidRPr="00BA68B5">
        <w:rPr>
          <w:rFonts w:ascii="Times New Roman" w:eastAsia="Times New Roman" w:hAnsi="Times New Roman" w:cs="Times New Roman"/>
          <w:sz w:val="28"/>
          <w:szCs w:val="28"/>
          <w:lang w:eastAsia="ar-SA"/>
        </w:rPr>
        <w:t xml:space="preserve">подконтрольных </w:t>
      </w:r>
      <w:r w:rsidRPr="00BA68B5">
        <w:rPr>
          <w:rFonts w:ascii="Times New Roman" w:eastAsia="Times New Roman" w:hAnsi="Times New Roman" w:cs="Times New Roman"/>
          <w:sz w:val="28"/>
          <w:szCs w:val="28"/>
          <w:lang w:eastAsia="ar-SA"/>
        </w:rPr>
        <w:t>предприятиях</w:t>
      </w:r>
      <w:r w:rsidR="00730F09"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w:t>
      </w:r>
    </w:p>
    <w:p w:rsidR="00847701" w:rsidRPr="00BA68B5" w:rsidRDefault="002E3560" w:rsidP="002E3560">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За 6 месяцев 2020 года произошёл 1 несчастный случай со смертельным исходом в МКУ МО г. Балашов «Городское ЖКХ» Саратовской области. </w:t>
      </w:r>
      <w:r w:rsidR="00F46DF8" w:rsidRPr="00BA68B5">
        <w:rPr>
          <w:rFonts w:ascii="Times New Roman" w:eastAsia="Times New Roman" w:hAnsi="Times New Roman" w:cs="Times New Roman"/>
          <w:sz w:val="28"/>
          <w:szCs w:val="28"/>
          <w:lang w:eastAsia="ar-SA"/>
        </w:rPr>
        <w:t>Причиной несчастного случая явилась неудовлетворительная организация производства работ</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Исходя из анализа обстоятельств и причин несчастных случаев, произошедших в организациях Российской Федерации за 6 месяцев 2020 года, руководителям поднадзорных предприятий, организаций, учреждений было рекомендовано:</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1.</w:t>
      </w:r>
      <w:r w:rsidRPr="00BA68B5">
        <w:rPr>
          <w:rFonts w:ascii="Times New Roman" w:eastAsia="Times New Roman" w:hAnsi="Times New Roman" w:cs="Times New Roman"/>
          <w:sz w:val="28"/>
          <w:szCs w:val="28"/>
          <w:lang w:eastAsia="ar-SA"/>
        </w:rPr>
        <w:tab/>
        <w:t>Проводить ознакомление работников с материалами настоящего анализа при проведении занятий и инструктажей по охране труда.</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2.</w:t>
      </w:r>
      <w:r w:rsidRPr="00BA68B5">
        <w:rPr>
          <w:rFonts w:ascii="Times New Roman" w:eastAsia="Times New Roman" w:hAnsi="Times New Roman" w:cs="Times New Roman"/>
          <w:sz w:val="28"/>
          <w:szCs w:val="28"/>
          <w:lang w:eastAsia="ar-SA"/>
        </w:rPr>
        <w:tab/>
        <w:t>Повысить уровень организации производства работ 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3.</w:t>
      </w:r>
      <w:r w:rsidRPr="00BA68B5">
        <w:rPr>
          <w:rFonts w:ascii="Times New Roman" w:eastAsia="Times New Roman" w:hAnsi="Times New Roman" w:cs="Times New Roman"/>
          <w:sz w:val="28"/>
          <w:szCs w:val="28"/>
          <w:lang w:eastAsia="ar-SA"/>
        </w:rPr>
        <w:tab/>
        <w:t>Обеспечить проверку знаний персоналом нормативных правовых актов по охране труда при эксплуатации электроустановок. Персонал, не прошедший проверку знаний, к работам в электроустановках не допускать.</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4.</w:t>
      </w:r>
      <w:r w:rsidRPr="00BA68B5">
        <w:rPr>
          <w:rFonts w:ascii="Times New Roman" w:eastAsia="Times New Roman" w:hAnsi="Times New Roman" w:cs="Times New Roman"/>
          <w:sz w:val="28"/>
          <w:szCs w:val="28"/>
          <w:lang w:eastAsia="ar-SA"/>
        </w:rPr>
        <w:tab/>
        <w:t>Обеспечить установленный порядок содержания, применения и испытания средств защиты.</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5.</w:t>
      </w:r>
      <w:r w:rsidRPr="00BA68B5">
        <w:rPr>
          <w:rFonts w:ascii="Times New Roman" w:eastAsia="Times New Roman" w:hAnsi="Times New Roman" w:cs="Times New Roman"/>
          <w:sz w:val="28"/>
          <w:szCs w:val="28"/>
          <w:lang w:eastAsia="ar-SA"/>
        </w:rPr>
        <w:tab/>
        <w:t>Усилить контроль за выполнением мероприятий, обеспечивающих безопасность работ.</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6.</w:t>
      </w:r>
      <w:r w:rsidRPr="00BA68B5">
        <w:rPr>
          <w:rFonts w:ascii="Times New Roman" w:eastAsia="Times New Roman" w:hAnsi="Times New Roman" w:cs="Times New Roman"/>
          <w:sz w:val="28"/>
          <w:szCs w:val="28"/>
          <w:lang w:eastAsia="ar-SA"/>
        </w:rPr>
        <w:tab/>
        <w:t>Проводить разъяснительную работу с персоналом о недопустимости самовольных действий, повышать производственную дисциплину труда. Особое внимание обратить на организацию производства работ в начале рабочего дня и после перерыва на обед.</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7. Повысить уровень организации работ по обслуживанию, замене и ремонту энергооборудования. Усилить контроль за соблюдением порядка включения и выключения энергооборудования и его осмотров.</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8. Не допускать персонал к проведению работ в особо опасных помещениях и помещениях с повышенной опасностью без электрозащитных средств.</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9. Не допускать проведение работ вне помещений при осуществлении технического обслуживания во время интенсивных осадков и при плохой видимости.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10. Обратить  внимание на необходимость неукоснительного соблюдения требований производственных инструкций, инструкций по охране труда при выполнении работ, указаний, полученных при целевом инструктаже».</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11. Регулярно проводиться дни охраны труда, на которых необходимо не только изучать требования правил, но и разъяснять, чем данные требования обусловлены.</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За</w:t>
      </w:r>
      <w:r w:rsidR="002E3560"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6 месяцев 2020 года при осуществлении государственного надзора и контроля за соблюдением законодательства об энергосбережении и повышении энергетической эффективности проверялось наличие программ в области энергосбережения и повышению энергетической эффективности, а также оснащение объектов приборами учета используемых энергетических ресурсов.</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При рассмотрении документации для выдачи разрешения на допуск в эксплуатацию энергоустановок проверялась организация учета используемых энергоресурсов, наличие в проектах раздела по энергосбережению и наличие энергопаспорта здания.</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При проведении плановых проверок проверялось исполнение поднадзорными предприятиями </w:t>
      </w:r>
      <w:r w:rsidR="002E3560" w:rsidRPr="00BA68B5">
        <w:rPr>
          <w:rFonts w:ascii="Times New Roman" w:eastAsia="Times New Roman" w:hAnsi="Times New Roman" w:cs="Times New Roman"/>
          <w:sz w:val="28"/>
          <w:szCs w:val="28"/>
          <w:lang w:eastAsia="ar-SA"/>
        </w:rPr>
        <w:t>Федерального закона №</w:t>
      </w:r>
      <w:r w:rsidRPr="00BA68B5">
        <w:rPr>
          <w:rFonts w:ascii="Times New Roman" w:eastAsia="Times New Roman" w:hAnsi="Times New Roman" w:cs="Times New Roman"/>
          <w:sz w:val="28"/>
          <w:szCs w:val="28"/>
          <w:lang w:eastAsia="ar-SA"/>
        </w:rPr>
        <w:t xml:space="preserve">261-ФЗ в части оснащения объектов приборами учета используемых энергетических ресурсов.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За отчетный период было проведено 87</w:t>
      </w:r>
      <w:r w:rsidR="002E3560"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проверок по энергосбережению и повышению энергетической эффективности, контроля наличия приборов учета потребляемых ресурсов.</w:t>
      </w:r>
    </w:p>
    <w:p w:rsidR="005135AB" w:rsidRPr="00BA68B5" w:rsidRDefault="005135AB" w:rsidP="005135AB">
      <w:pPr>
        <w:shd w:val="clear" w:color="auto" w:fill="FFFFFF"/>
        <w:suppressAutoHyphens/>
        <w:spacing w:after="160" w:line="360" w:lineRule="auto"/>
        <w:ind w:left="-57" w:firstLine="57"/>
        <w:jc w:val="center"/>
        <w:rPr>
          <w:rFonts w:ascii="Times New Roman" w:eastAsia="Times New Roman" w:hAnsi="Times New Roman" w:cs="Times New Roman"/>
          <w:sz w:val="28"/>
          <w:szCs w:val="28"/>
          <w:u w:val="single"/>
          <w:lang w:eastAsia="ar-SA"/>
        </w:rPr>
      </w:pPr>
      <w:r w:rsidRPr="00BA68B5">
        <w:rPr>
          <w:rFonts w:ascii="Times New Roman" w:eastAsia="Times New Roman" w:hAnsi="Times New Roman" w:cs="Times New Roman"/>
          <w:sz w:val="28"/>
          <w:szCs w:val="28"/>
          <w:u w:val="single"/>
          <w:lang w:eastAsia="ar-SA"/>
        </w:rPr>
        <w:t>Контроль за ходом подготовки к ОЗП 2020-2021гг.</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Контроль за ходом подготовки объектов электроэнергетики и теплоснабжения Средне-Поволжским управлением Ростехнадзора к предстоящему отопительному периоду 2020-2021гг. осуществлялся в соответствии с Федеральным законом от 27.07.2010 №190-ФЗ «О теплоснабжении», Положением о Федеральной службе по экологическому, технологическому и атомному надзору, утвержденным постановлением Правительства РФ от 30.07.2004 № 401. </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Средне-Поволжское управление Ростехнадзорав </w:t>
      </w:r>
      <w:r w:rsidR="00F80FD6" w:rsidRPr="00BA68B5">
        <w:rPr>
          <w:rFonts w:ascii="Times New Roman" w:eastAsia="Times New Roman" w:hAnsi="Times New Roman" w:cs="Times New Roman"/>
          <w:sz w:val="28"/>
          <w:szCs w:val="28"/>
          <w:lang w:eastAsia="ar-SA"/>
        </w:rPr>
        <w:t xml:space="preserve">в </w:t>
      </w:r>
      <w:r w:rsidRPr="00BA68B5">
        <w:rPr>
          <w:rFonts w:ascii="Times New Roman" w:eastAsia="Times New Roman" w:hAnsi="Times New Roman" w:cs="Times New Roman"/>
          <w:sz w:val="28"/>
          <w:szCs w:val="28"/>
          <w:lang w:eastAsia="ar-SA"/>
        </w:rPr>
        <w:t>первом квартале 2020</w:t>
      </w:r>
      <w:r w:rsidR="00F80FD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г</w:t>
      </w:r>
      <w:r w:rsidR="00F80FD6" w:rsidRPr="00BA68B5">
        <w:rPr>
          <w:rFonts w:ascii="Times New Roman" w:eastAsia="Times New Roman" w:hAnsi="Times New Roman" w:cs="Times New Roman"/>
          <w:sz w:val="28"/>
          <w:szCs w:val="28"/>
          <w:lang w:eastAsia="ar-SA"/>
        </w:rPr>
        <w:t>ода</w:t>
      </w:r>
      <w:r w:rsidRPr="00BA68B5">
        <w:rPr>
          <w:rFonts w:ascii="Times New Roman" w:eastAsia="Times New Roman" w:hAnsi="Times New Roman" w:cs="Times New Roman"/>
          <w:sz w:val="28"/>
          <w:szCs w:val="28"/>
          <w:lang w:eastAsia="ar-SA"/>
        </w:rPr>
        <w:t xml:space="preserve"> направило во все муниципальные образования Самарской,</w:t>
      </w:r>
      <w:r w:rsidR="00F80FD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Ульяновской, Саратовской, Пензенской областей запрос</w:t>
      </w:r>
      <w:r w:rsidR="00F80FD6" w:rsidRPr="00BA68B5">
        <w:rPr>
          <w:rFonts w:ascii="Times New Roman" w:eastAsia="Times New Roman" w:hAnsi="Times New Roman" w:cs="Times New Roman"/>
          <w:sz w:val="28"/>
          <w:szCs w:val="28"/>
          <w:lang w:eastAsia="ar-SA"/>
        </w:rPr>
        <w:t>ы</w:t>
      </w:r>
      <w:r w:rsidRPr="00BA68B5">
        <w:rPr>
          <w:rFonts w:ascii="Times New Roman" w:eastAsia="Times New Roman" w:hAnsi="Times New Roman" w:cs="Times New Roman"/>
          <w:sz w:val="28"/>
          <w:szCs w:val="28"/>
          <w:lang w:eastAsia="ar-SA"/>
        </w:rPr>
        <w:t xml:space="preserve"> о предоставление сведений о теплоснабжающих и теплосетевых организациях, осуществляющих деятельность на территории муниципальных образований.</w:t>
      </w:r>
    </w:p>
    <w:p w:rsidR="005135AB" w:rsidRPr="00BA68B5" w:rsidRDefault="00F80FD6"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Средне-Поволжским управлением Ростехнадзора </w:t>
      </w:r>
      <w:r w:rsidR="005135AB" w:rsidRPr="00BA68B5">
        <w:rPr>
          <w:rFonts w:ascii="Times New Roman" w:eastAsia="Times New Roman" w:hAnsi="Times New Roman" w:cs="Times New Roman"/>
          <w:sz w:val="28"/>
          <w:szCs w:val="28"/>
          <w:lang w:eastAsia="ar-SA"/>
        </w:rPr>
        <w:t xml:space="preserve">разработаны и </w:t>
      </w:r>
      <w:r w:rsidRPr="00BA68B5">
        <w:rPr>
          <w:rFonts w:ascii="Times New Roman" w:eastAsia="Times New Roman" w:hAnsi="Times New Roman" w:cs="Times New Roman"/>
          <w:sz w:val="28"/>
          <w:szCs w:val="28"/>
          <w:lang w:eastAsia="ar-SA"/>
        </w:rPr>
        <w:t>д</w:t>
      </w:r>
      <w:r w:rsidR="005135AB" w:rsidRPr="00BA68B5">
        <w:rPr>
          <w:rFonts w:ascii="Times New Roman" w:eastAsia="Times New Roman" w:hAnsi="Times New Roman" w:cs="Times New Roman"/>
          <w:sz w:val="28"/>
          <w:szCs w:val="28"/>
          <w:lang w:eastAsia="ar-SA"/>
        </w:rPr>
        <w:t>оведены до сведения администраций муниципальных образований</w:t>
      </w:r>
      <w:r w:rsidRPr="00BA68B5">
        <w:rPr>
          <w:rFonts w:ascii="Times New Roman" w:eastAsia="Times New Roman" w:hAnsi="Times New Roman" w:cs="Times New Roman"/>
          <w:sz w:val="28"/>
          <w:szCs w:val="28"/>
          <w:lang w:eastAsia="ar-SA"/>
        </w:rPr>
        <w:t xml:space="preserve"> всех субъектов</w:t>
      </w:r>
      <w:r w:rsidR="005135AB" w:rsidRPr="00BA68B5">
        <w:rPr>
          <w:rFonts w:ascii="Times New Roman" w:eastAsia="Times New Roman" w:hAnsi="Times New Roman" w:cs="Times New Roman"/>
          <w:sz w:val="28"/>
          <w:szCs w:val="28"/>
          <w:lang w:eastAsia="ar-SA"/>
        </w:rPr>
        <w:t xml:space="preserve"> методические рекомендации по оценке готовности к отопительному сезону теплоснабжающих организаций и потребителей, которые оцениваются комиссиями образованными администрациями муниципальных образований.</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Подготовка к отопительному сезону в этом году осложняется мероприятиями по предотвращению распространения новой коронавирусной инфекции COVID-2019.</w:t>
      </w:r>
      <w:r w:rsidR="00FC389D"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Правительством Российской Федерации 3 апреля 2020 г</w:t>
      </w:r>
      <w:r w:rsidR="00F80FD6" w:rsidRPr="00BA68B5">
        <w:rPr>
          <w:rFonts w:ascii="Times New Roman" w:eastAsia="Times New Roman" w:hAnsi="Times New Roman" w:cs="Times New Roman"/>
          <w:sz w:val="28"/>
          <w:szCs w:val="28"/>
          <w:lang w:eastAsia="ar-SA"/>
        </w:rPr>
        <w:t>ода</w:t>
      </w:r>
      <w:r w:rsidRPr="00BA68B5">
        <w:rPr>
          <w:rFonts w:ascii="Times New Roman" w:eastAsia="Times New Roman" w:hAnsi="Times New Roman" w:cs="Times New Roman"/>
          <w:sz w:val="28"/>
          <w:szCs w:val="28"/>
          <w:lang w:eastAsia="ar-SA"/>
        </w:rPr>
        <w:t xml:space="preserve"> издано Постановление № 438, согласно которому внеплановые проверки могут проводиться по поручению Правительства Российской Федерации только с указанием конкретного юридического лица и (или) индивидуального предпринимателя.</w:t>
      </w:r>
    </w:p>
    <w:p w:rsidR="005135AB" w:rsidRPr="00BA68B5" w:rsidRDefault="00F80FD6"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Н</w:t>
      </w:r>
      <w:r w:rsidR="005135AB" w:rsidRPr="00BA68B5">
        <w:rPr>
          <w:rFonts w:ascii="Times New Roman" w:eastAsia="Times New Roman" w:hAnsi="Times New Roman" w:cs="Times New Roman"/>
          <w:sz w:val="28"/>
          <w:szCs w:val="28"/>
          <w:lang w:eastAsia="ar-SA"/>
        </w:rPr>
        <w:t>а основании писем муниципальных образований с перечнем теплоснабжающих и теплосетевых организаций подготовлен и направлен в Центральный Аппарат Ростехнадзора перечень из 326 электроснабжающих, теплоснабжающих и теплосетевых организаций, подлежащих оценке готовности к отопительному периоду 2020/2021 годов, с мотивированной позицией по каждой организации.</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целях качественной и своевременной подготовки к работе ОЗП 2020-2021</w:t>
      </w:r>
      <w:r w:rsidR="00F80FD6" w:rsidRPr="00BA68B5">
        <w:rPr>
          <w:rFonts w:ascii="Times New Roman" w:eastAsia="Times New Roman" w:hAnsi="Times New Roman" w:cs="Times New Roman"/>
          <w:sz w:val="28"/>
          <w:szCs w:val="28"/>
          <w:lang w:eastAsia="ar-SA"/>
        </w:rPr>
        <w:t>гг.</w:t>
      </w:r>
      <w:r w:rsidRPr="00BA68B5">
        <w:rPr>
          <w:rFonts w:ascii="Times New Roman" w:eastAsia="Times New Roman" w:hAnsi="Times New Roman" w:cs="Times New Roman"/>
          <w:sz w:val="28"/>
          <w:szCs w:val="28"/>
          <w:lang w:eastAsia="ar-SA"/>
        </w:rPr>
        <w:t xml:space="preserve"> </w:t>
      </w:r>
      <w:r w:rsidR="00F80FD6" w:rsidRPr="00BA68B5">
        <w:rPr>
          <w:rFonts w:ascii="Times New Roman" w:eastAsia="Times New Roman" w:hAnsi="Times New Roman" w:cs="Times New Roman"/>
          <w:sz w:val="28"/>
          <w:szCs w:val="28"/>
          <w:lang w:eastAsia="ar-SA"/>
        </w:rPr>
        <w:t>г</w:t>
      </w:r>
      <w:r w:rsidRPr="00BA68B5">
        <w:rPr>
          <w:rFonts w:ascii="Times New Roman" w:eastAsia="Times New Roman" w:hAnsi="Times New Roman" w:cs="Times New Roman"/>
          <w:sz w:val="28"/>
          <w:szCs w:val="28"/>
          <w:lang w:eastAsia="ar-SA"/>
        </w:rPr>
        <w:t>лавам городских образований, муниципальных районов Самарской области и руководителям энергоснабжающих организаций были направлены информационные письма «О подготовке предприятий и организаций, обеспечивающих электро- и теплоснабжение населения и объектов социальной сферы к работе в осенне-зимний период 2020-2021 гг.», в которых изложены требования о составлении планов работы, о необходимости проведения испытаний тепловых сетей и энергетического оборудования и т.д.</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Организован мониторинг хода подготовки к работе в ОЗП электро- и теплоснабжающих организаций.</w:t>
      </w:r>
      <w:r w:rsidR="00F80FD6"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В рамках мониторинга за состоянием реализации утвержденных планов на местах наблюдается низкие темпы (от 3 до 10 %) выполнения намеченных мероприятий по всем муниципальным образованиям.</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К основным проблемам, связанным с обеспечением безопасности и противоаварийной устойчивости поднадзорных предприятий и объектов</w:t>
      </w:r>
      <w:r w:rsidR="005D7F4A"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следует отнести следующие:</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ряд котельных не имеют резервных источников электроснабжения;</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 в полном объеме согласно графику ППР ведутся ремонтные работы  тепломеханического оборудования в энергоснабжающих организациях;</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 проводятся противоаварийные тренировки по специально разработанным программам или проводятся не в полном объеме;</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тепловые сети МУП ЖКХ находятся в  изношенном состоянии;</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 проводятся тепло-химические испытания котлов с наладкой их водно-химического режима;</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не соблюдается периодичность химического контроля водно-химического режима оборудования котельных;</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эксплуатируется морально и физически устаревшее тепломеханическое оборудование и автоматика;</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на отдельных предприятиях отсутствует необходимый запас запорной арматуры и</w:t>
      </w:r>
      <w:r w:rsidR="00F80FD6" w:rsidRPr="00BA68B5">
        <w:rPr>
          <w:rFonts w:ascii="Times New Roman" w:eastAsia="Times New Roman" w:hAnsi="Times New Roman" w:cs="Times New Roman"/>
          <w:sz w:val="28"/>
          <w:szCs w:val="28"/>
          <w:lang w:eastAsia="ar-SA"/>
        </w:rPr>
        <w:t xml:space="preserve"> материалов</w:t>
      </w:r>
      <w:r w:rsidRPr="00BA68B5">
        <w:rPr>
          <w:rFonts w:ascii="Times New Roman" w:eastAsia="Times New Roman" w:hAnsi="Times New Roman" w:cs="Times New Roman"/>
          <w:sz w:val="28"/>
          <w:szCs w:val="28"/>
          <w:lang w:eastAsia="ar-SA"/>
        </w:rPr>
        <w:t xml:space="preserve"> для проведения работ по ликвидации аварий и повреждений;</w:t>
      </w:r>
    </w:p>
    <w:p w:rsidR="005135AB" w:rsidRPr="00BA68B5" w:rsidRDefault="005135AB" w:rsidP="00FC389D">
      <w:pPr>
        <w:shd w:val="clear" w:color="auto" w:fill="FFFFFF"/>
        <w:suppressAutoHyphens/>
        <w:spacing w:after="160" w:line="360" w:lineRule="auto"/>
        <w:ind w:left="-57" w:firstLine="57"/>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отсутствует наладка режимов водоподготовки;</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ab/>
        <w:t>банкротство и частая смена юридического лица и постоянное деление теплоснабжающих организаций.</w:t>
      </w:r>
    </w:p>
    <w:p w:rsidR="005135AB" w:rsidRPr="00BA68B5" w:rsidRDefault="00FC389D" w:rsidP="00FC389D">
      <w:pPr>
        <w:shd w:val="clear" w:color="auto" w:fill="FFFFFF"/>
        <w:suppressAutoHyphens/>
        <w:spacing w:after="160" w:line="360" w:lineRule="auto"/>
        <w:ind w:left="-57" w:firstLine="765"/>
        <w:jc w:val="both"/>
        <w:rPr>
          <w:rFonts w:ascii="Times New Roman" w:eastAsia="Times New Roman" w:hAnsi="Times New Roman" w:cs="Times New Roman"/>
          <w:sz w:val="28"/>
          <w:szCs w:val="28"/>
          <w:u w:val="single"/>
          <w:lang w:eastAsia="ar-SA"/>
        </w:rPr>
      </w:pPr>
      <w:r w:rsidRPr="00BA68B5">
        <w:rPr>
          <w:rFonts w:ascii="Times New Roman" w:eastAsia="Times New Roman" w:hAnsi="Times New Roman" w:cs="Times New Roman"/>
          <w:sz w:val="28"/>
          <w:szCs w:val="28"/>
          <w:u w:val="single"/>
          <w:lang w:eastAsia="ar-SA"/>
        </w:rPr>
        <w:t>П</w:t>
      </w:r>
      <w:r w:rsidR="005135AB" w:rsidRPr="00BA68B5">
        <w:rPr>
          <w:rFonts w:ascii="Times New Roman" w:eastAsia="Times New Roman" w:hAnsi="Times New Roman" w:cs="Times New Roman"/>
          <w:sz w:val="28"/>
          <w:szCs w:val="28"/>
          <w:u w:val="single"/>
          <w:lang w:eastAsia="ar-SA"/>
        </w:rPr>
        <w:t>роблемные вопросы</w:t>
      </w:r>
      <w:r w:rsidR="00F80FD6" w:rsidRPr="00BA68B5">
        <w:rPr>
          <w:rFonts w:ascii="Times New Roman" w:eastAsia="Times New Roman" w:hAnsi="Times New Roman" w:cs="Times New Roman"/>
          <w:sz w:val="28"/>
          <w:szCs w:val="28"/>
          <w:u w:val="single"/>
          <w:lang w:eastAsia="ar-SA"/>
        </w:rPr>
        <w:t xml:space="preserve"> </w:t>
      </w:r>
      <w:r w:rsidR="005135AB" w:rsidRPr="00BA68B5">
        <w:rPr>
          <w:rFonts w:ascii="Times New Roman" w:eastAsia="Times New Roman" w:hAnsi="Times New Roman" w:cs="Times New Roman"/>
          <w:sz w:val="28"/>
          <w:szCs w:val="28"/>
          <w:u w:val="single"/>
          <w:lang w:eastAsia="ar-SA"/>
        </w:rPr>
        <w:t>кподготовки к осенне-зимнему периоду 2020-2021гг теплоснабжающих, теплосетевых организаций и потребителей тепловой энергии</w:t>
      </w:r>
      <w:r w:rsidRPr="00BA68B5">
        <w:rPr>
          <w:rFonts w:ascii="Times New Roman" w:eastAsia="Times New Roman" w:hAnsi="Times New Roman" w:cs="Times New Roman"/>
          <w:sz w:val="28"/>
          <w:szCs w:val="28"/>
          <w:u w:val="single"/>
          <w:lang w:eastAsia="ar-SA"/>
        </w:rPr>
        <w:t>:</w:t>
      </w:r>
    </w:p>
    <w:p w:rsidR="005135AB" w:rsidRPr="00BA68B5" w:rsidRDefault="00633D13" w:rsidP="00FC389D">
      <w:pPr>
        <w:pStyle w:val="affe"/>
        <w:ind w:firstLine="0"/>
        <w:jc w:val="center"/>
        <w:rPr>
          <w:rFonts w:ascii="Times New Roman" w:hAnsi="Times New Roman"/>
          <w:sz w:val="28"/>
          <w:szCs w:val="28"/>
          <w:lang w:eastAsia="ar-SA"/>
        </w:rPr>
      </w:pPr>
      <w:r w:rsidRPr="00BA68B5">
        <w:rPr>
          <w:rFonts w:ascii="Times New Roman" w:hAnsi="Times New Roman"/>
          <w:sz w:val="28"/>
          <w:szCs w:val="28"/>
          <w:lang w:eastAsia="ar-SA"/>
        </w:rPr>
        <w:t>Самарская область</w:t>
      </w:r>
    </w:p>
    <w:p w:rsidR="00FC389D" w:rsidRPr="00BA68B5" w:rsidRDefault="00FC389D" w:rsidP="00FC389D">
      <w:pPr>
        <w:pStyle w:val="affe"/>
        <w:ind w:firstLine="0"/>
        <w:jc w:val="center"/>
        <w:rPr>
          <w:rFonts w:ascii="Times New Roman" w:hAnsi="Times New Roman"/>
          <w:sz w:val="28"/>
          <w:szCs w:val="28"/>
          <w:lang w:eastAsia="ar-SA"/>
        </w:rPr>
      </w:pP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Среди проблемных вопросов можно отметить состояние подготовки к ОЗП 25 муниципальных котельных и более 200 км тепловых сетей в г.о. Сызрань. До 01.06.2020 данные объекты эксплуатируются МУП </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ЖЭС</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которое находится под внешним управлением в связи с процедурой банкротства. Договор</w:t>
      </w:r>
      <w:r w:rsidR="005D7F4A" w:rsidRPr="00BA68B5">
        <w:rPr>
          <w:rFonts w:ascii="Times New Roman" w:eastAsia="Times New Roman" w:hAnsi="Times New Roman" w:cs="Times New Roman"/>
          <w:sz w:val="28"/>
          <w:szCs w:val="28"/>
          <w:lang w:eastAsia="ar-SA"/>
        </w:rPr>
        <w:t>ы</w:t>
      </w:r>
      <w:r w:rsidRPr="00BA68B5">
        <w:rPr>
          <w:rFonts w:ascii="Times New Roman" w:eastAsia="Times New Roman" w:hAnsi="Times New Roman" w:cs="Times New Roman"/>
          <w:sz w:val="28"/>
          <w:szCs w:val="28"/>
          <w:lang w:eastAsia="ar-SA"/>
        </w:rPr>
        <w:t xml:space="preserve"> аренды на муниципальные котельные и тепловые сети с МУП </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ЖЭС</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w:t>
      </w:r>
      <w:r w:rsidR="005D7F4A" w:rsidRPr="00BA68B5">
        <w:rPr>
          <w:rFonts w:ascii="Times New Roman" w:eastAsia="Times New Roman" w:hAnsi="Times New Roman" w:cs="Times New Roman"/>
          <w:sz w:val="28"/>
          <w:szCs w:val="28"/>
          <w:lang w:eastAsia="ar-SA"/>
        </w:rPr>
        <w:t>расторгнуты и заключены договоры</w:t>
      </w:r>
      <w:r w:rsidRPr="00BA68B5">
        <w:rPr>
          <w:rFonts w:ascii="Times New Roman" w:eastAsia="Times New Roman" w:hAnsi="Times New Roman" w:cs="Times New Roman"/>
          <w:sz w:val="28"/>
          <w:szCs w:val="28"/>
          <w:lang w:eastAsia="ar-SA"/>
        </w:rPr>
        <w:t xml:space="preserve"> с другими эксплуатирующими организациями (ООО </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Энергетик</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ПАО </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Т Плюс</w:t>
      </w:r>
      <w:r w:rsidR="00633D13"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В связи с этим вызывает озабоченность смена эксплуатирующей организации и вытекающие из этого технические, финансовые, организационные и кадровые проблемы по подготовке данных объектов к работе в ОЗП.</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За отчетный период проведен</w:t>
      </w:r>
      <w:r w:rsidR="00633D13" w:rsidRPr="00BA68B5">
        <w:rPr>
          <w:rFonts w:ascii="Times New Roman" w:eastAsia="Times New Roman" w:hAnsi="Times New Roman" w:cs="Times New Roman"/>
          <w:sz w:val="28"/>
          <w:szCs w:val="28"/>
          <w:lang w:eastAsia="ar-SA"/>
        </w:rPr>
        <w:t>а</w:t>
      </w:r>
      <w:r w:rsidRPr="00BA68B5">
        <w:rPr>
          <w:rFonts w:ascii="Times New Roman" w:eastAsia="Times New Roman" w:hAnsi="Times New Roman" w:cs="Times New Roman"/>
          <w:sz w:val="28"/>
          <w:szCs w:val="28"/>
          <w:lang w:eastAsia="ar-SA"/>
        </w:rPr>
        <w:t xml:space="preserve"> 1 внеплановая выездная проверка</w:t>
      </w:r>
      <w:r w:rsidR="00633D1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 xml:space="preserve">по обращению прокуратуры Самарской области, представители </w:t>
      </w:r>
      <w:r w:rsidR="00730F09" w:rsidRPr="00BA68B5">
        <w:rPr>
          <w:rFonts w:ascii="Times New Roman" w:eastAsia="Times New Roman" w:hAnsi="Times New Roman" w:cs="Times New Roman"/>
          <w:sz w:val="28"/>
          <w:szCs w:val="28"/>
          <w:lang w:eastAsia="ar-SA"/>
        </w:rPr>
        <w:t>Средне-Поволжского у</w:t>
      </w:r>
      <w:r w:rsidRPr="00BA68B5">
        <w:rPr>
          <w:rFonts w:ascii="Times New Roman" w:eastAsia="Times New Roman" w:hAnsi="Times New Roman" w:cs="Times New Roman"/>
          <w:sz w:val="28"/>
          <w:szCs w:val="28"/>
          <w:lang w:eastAsia="ar-SA"/>
        </w:rPr>
        <w:t>правления</w:t>
      </w:r>
      <w:r w:rsidR="00730F09" w:rsidRPr="00BA68B5">
        <w:rPr>
          <w:rFonts w:ascii="Times New Roman" w:eastAsia="Times New Roman" w:hAnsi="Times New Roman" w:cs="Times New Roman"/>
          <w:sz w:val="28"/>
          <w:szCs w:val="28"/>
          <w:lang w:eastAsia="ar-SA"/>
        </w:rPr>
        <w:t xml:space="preserve"> Ростехнадзора</w:t>
      </w:r>
      <w:r w:rsidRPr="00BA68B5">
        <w:rPr>
          <w:rFonts w:ascii="Times New Roman" w:eastAsia="Times New Roman" w:hAnsi="Times New Roman" w:cs="Times New Roman"/>
          <w:sz w:val="28"/>
          <w:szCs w:val="28"/>
          <w:lang w:eastAsia="ar-SA"/>
        </w:rPr>
        <w:t xml:space="preserve"> приняли участие в проверке теплоснабжающей организации ЗАО «Коммунэнерго» (Богатовский район Самарской области).</w:t>
      </w:r>
      <w:r w:rsidR="00633D1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По результатам проверки выявлено 22 нарушения.</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Основные нарушения, существенно влияющие на прохождение отопительного сезона:</w:t>
      </w:r>
    </w:p>
    <w:p w:rsidR="005135AB" w:rsidRPr="00BA68B5" w:rsidRDefault="00633D13"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н</w:t>
      </w:r>
      <w:r w:rsidR="005135AB" w:rsidRPr="00BA68B5">
        <w:rPr>
          <w:rFonts w:ascii="Times New Roman" w:eastAsia="Times New Roman" w:hAnsi="Times New Roman" w:cs="Times New Roman"/>
          <w:sz w:val="28"/>
          <w:szCs w:val="28"/>
          <w:lang w:eastAsia="ar-SA"/>
        </w:rPr>
        <w:t xml:space="preserve">е проведено техническое освидетельствование тепловых энергоустановок (котлов, тепловых сетей), эксплуатируемых предприятием, с внесением результатов в </w:t>
      </w:r>
      <w:r w:rsidRPr="00BA68B5">
        <w:rPr>
          <w:rFonts w:ascii="Times New Roman" w:eastAsia="Times New Roman" w:hAnsi="Times New Roman" w:cs="Times New Roman"/>
          <w:sz w:val="28"/>
          <w:szCs w:val="28"/>
          <w:lang w:eastAsia="ar-SA"/>
        </w:rPr>
        <w:t>паспорт тепловой энергоустановк</w:t>
      </w:r>
      <w:r w:rsidR="00FC389D" w:rsidRPr="00BA68B5">
        <w:rPr>
          <w:rFonts w:ascii="Times New Roman" w:eastAsia="Times New Roman" w:hAnsi="Times New Roman" w:cs="Times New Roman"/>
          <w:sz w:val="28"/>
          <w:szCs w:val="28"/>
          <w:lang w:eastAsia="ar-SA"/>
        </w:rPr>
        <w:t>и</w:t>
      </w:r>
      <w:r w:rsidRPr="00BA68B5">
        <w:rPr>
          <w:rFonts w:ascii="Times New Roman" w:eastAsia="Times New Roman" w:hAnsi="Times New Roman" w:cs="Times New Roman"/>
          <w:sz w:val="28"/>
          <w:szCs w:val="28"/>
          <w:lang w:eastAsia="ar-SA"/>
        </w:rPr>
        <w:t>;</w:t>
      </w:r>
    </w:p>
    <w:p w:rsidR="005135AB" w:rsidRPr="00BA68B5" w:rsidRDefault="00633D13"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w:t>
      </w:r>
      <w:r w:rsidR="005135AB" w:rsidRPr="00BA68B5">
        <w:rPr>
          <w:rFonts w:ascii="Times New Roman" w:eastAsia="Times New Roman" w:hAnsi="Times New Roman" w:cs="Times New Roman"/>
          <w:sz w:val="28"/>
          <w:szCs w:val="28"/>
          <w:lang w:eastAsia="ar-SA"/>
        </w:rPr>
        <w:t xml:space="preserve"> установленные сроки не проведена ревизия водоподготовительного оборудования и его наладка, теплохимические испытания водогрейных котлов и наладки их водно-химических режимов</w:t>
      </w:r>
      <w:r w:rsidRPr="00BA68B5">
        <w:rPr>
          <w:rFonts w:ascii="Times New Roman" w:eastAsia="Times New Roman" w:hAnsi="Times New Roman" w:cs="Times New Roman"/>
          <w:sz w:val="28"/>
          <w:szCs w:val="28"/>
          <w:lang w:eastAsia="ar-SA"/>
        </w:rPr>
        <w:t>;</w:t>
      </w:r>
    </w:p>
    <w:p w:rsidR="005135AB" w:rsidRPr="00BA68B5" w:rsidRDefault="00633D13"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w:t>
      </w:r>
      <w:r w:rsidR="005135AB" w:rsidRPr="00BA68B5">
        <w:rPr>
          <w:rFonts w:ascii="Times New Roman" w:eastAsia="Times New Roman" w:hAnsi="Times New Roman" w:cs="Times New Roman"/>
          <w:sz w:val="28"/>
          <w:szCs w:val="28"/>
          <w:lang w:eastAsia="ar-SA"/>
        </w:rPr>
        <w:t>роизводственные здания котельных №1, №2, №3 не содержатся в исправном состоянии, обеспечивающее длительное, надёжное использование их по назначению (многочисленные трещины и разрушения в несущих конструкциях, следы протечки кровли, разрушение бетонного покрытия пола внутри котельной, отсутствие отмостки), чем нарушены требования п. 3.3.1 ПТЭ ТЭ</w:t>
      </w:r>
      <w:r w:rsidRPr="00BA68B5">
        <w:rPr>
          <w:rFonts w:ascii="Times New Roman" w:eastAsia="Times New Roman" w:hAnsi="Times New Roman" w:cs="Times New Roman"/>
          <w:sz w:val="28"/>
          <w:szCs w:val="28"/>
          <w:lang w:eastAsia="ar-SA"/>
        </w:rPr>
        <w:t>;</w:t>
      </w:r>
    </w:p>
    <w:p w:rsidR="005135AB" w:rsidRPr="00BA68B5" w:rsidRDefault="00633D13"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w:t>
      </w:r>
      <w:r w:rsidR="005135AB" w:rsidRPr="00BA68B5">
        <w:rPr>
          <w:rFonts w:ascii="Times New Roman" w:eastAsia="Times New Roman" w:hAnsi="Times New Roman" w:cs="Times New Roman"/>
          <w:sz w:val="28"/>
          <w:szCs w:val="28"/>
          <w:lang w:eastAsia="ar-SA"/>
        </w:rPr>
        <w:t xml:space="preserve"> установленные сроки не проводятся инструментально-визуальное наружное и внутреннее обследование дымовых труб с привлечением специализированной организации.</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Кроме того, в ходе проверки установлено, что не определена организация, эксплуатирующая муниципальные тепловые сети с.п. Богатое.</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адрес Губернатора Самарской области направлено письмо о проблемных вопросах  подготовки к ОЗП 2020-2021гг.</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По Самарской области из 2792 км</w:t>
      </w:r>
      <w:r w:rsidR="00633D1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тепловых сетей всех теплоснабжающих организаций 1591 км (или 57 %) эксплуатируются более 25 лет, т.е. имеют истёкший расчётный срок службы.</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Наиболее остро данная проблема проявляется в АО «ПТС» г. Самара, где из 744,8 км</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тепловых сетей АО «ПТС» отработали нормативный срок 516,4</w:t>
      </w:r>
      <w:r w:rsidR="001A33AE" w:rsidRPr="00BA68B5">
        <w:rPr>
          <w:rFonts w:ascii="Times New Roman" w:eastAsia="Times New Roman" w:hAnsi="Times New Roman" w:cs="Times New Roman"/>
          <w:sz w:val="28"/>
          <w:szCs w:val="28"/>
          <w:lang w:eastAsia="ar-SA"/>
        </w:rPr>
        <w:t xml:space="preserve"> км (</w:t>
      </w:r>
      <w:r w:rsidRPr="00BA68B5">
        <w:rPr>
          <w:rFonts w:ascii="Times New Roman" w:eastAsia="Times New Roman" w:hAnsi="Times New Roman" w:cs="Times New Roman"/>
          <w:sz w:val="28"/>
          <w:szCs w:val="28"/>
          <w:lang w:eastAsia="ar-SA"/>
        </w:rPr>
        <w:t xml:space="preserve">69 %). </w:t>
      </w:r>
      <w:r w:rsidR="001A33AE" w:rsidRPr="00BA68B5">
        <w:rPr>
          <w:rFonts w:ascii="Times New Roman" w:eastAsia="Times New Roman" w:hAnsi="Times New Roman" w:cs="Times New Roman"/>
          <w:sz w:val="28"/>
          <w:szCs w:val="28"/>
          <w:lang w:eastAsia="ar-SA"/>
        </w:rPr>
        <w:t>И</w:t>
      </w:r>
      <w:r w:rsidRPr="00BA68B5">
        <w:rPr>
          <w:rFonts w:ascii="Times New Roman" w:eastAsia="Times New Roman" w:hAnsi="Times New Roman" w:cs="Times New Roman"/>
          <w:sz w:val="28"/>
          <w:szCs w:val="28"/>
          <w:lang w:eastAsia="ar-SA"/>
        </w:rPr>
        <w:t>з 526,3 км тепловых сетей, переданных в эксплуатацию АО «ПТС» Администрацией г.о. Самара и являющихся муниципальной собственностью, необходимо переложить 421,7 км</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80%).</w:t>
      </w:r>
    </w:p>
    <w:p w:rsidR="00F4026A"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Как следует из Постановления администрации городского округа Самара от 06.03.2020 № 141 «О мероприятиях по подготовке городского хозяйства к работе в условиях осенне-зимнего периода 2020-2021 годов», при подготовке к отопительному сезону 2020-2021</w:t>
      </w:r>
      <w:r w:rsidR="001A33AE" w:rsidRPr="00BA68B5">
        <w:rPr>
          <w:rFonts w:ascii="Times New Roman" w:eastAsia="Times New Roman" w:hAnsi="Times New Roman" w:cs="Times New Roman"/>
          <w:sz w:val="28"/>
          <w:szCs w:val="28"/>
          <w:lang w:eastAsia="ar-SA"/>
        </w:rPr>
        <w:t>гг.</w:t>
      </w:r>
      <w:r w:rsidRPr="00BA68B5">
        <w:rPr>
          <w:rFonts w:ascii="Times New Roman" w:eastAsia="Times New Roman" w:hAnsi="Times New Roman" w:cs="Times New Roman"/>
          <w:sz w:val="28"/>
          <w:szCs w:val="28"/>
          <w:lang w:eastAsia="ar-SA"/>
        </w:rPr>
        <w:t xml:space="preserve"> АО «ПТС» запланировал капитальный ремонт 10 км тепловых сетей из 1477,4 км, что составляет 0,7 % от их протяженности.</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Таким образом, уже сейчас можно сделать вывод о недостаточном объеме перекладок тепловых сетей в г. Самара.</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 xml:space="preserve">Фактически </w:t>
      </w:r>
      <w:r w:rsidR="005D7F4A" w:rsidRPr="00BA68B5">
        <w:rPr>
          <w:rFonts w:ascii="Times New Roman" w:eastAsia="Times New Roman" w:hAnsi="Times New Roman" w:cs="Times New Roman"/>
          <w:sz w:val="28"/>
          <w:szCs w:val="28"/>
          <w:lang w:eastAsia="ar-SA"/>
        </w:rPr>
        <w:br/>
      </w:r>
      <w:r w:rsidRPr="00BA68B5">
        <w:rPr>
          <w:rFonts w:ascii="Times New Roman" w:eastAsia="Times New Roman" w:hAnsi="Times New Roman" w:cs="Times New Roman"/>
          <w:sz w:val="28"/>
          <w:szCs w:val="28"/>
          <w:lang w:eastAsia="ar-SA"/>
        </w:rPr>
        <w:t>АО «ПТС» осуществляет эксплуатацию более 425 км</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бесхозяйных тепловых сетей с 2015 года, осуществляя через них поставку тепловой энергии потребителям и получая, соответственно, оплату поданных ресурсов.</w:t>
      </w:r>
      <w:r w:rsidR="001A33AE" w:rsidRPr="00BA68B5">
        <w:rPr>
          <w:rFonts w:ascii="Times New Roman" w:eastAsia="Times New Roman" w:hAnsi="Times New Roman" w:cs="Times New Roman"/>
          <w:sz w:val="28"/>
          <w:szCs w:val="28"/>
          <w:lang w:eastAsia="ar-SA"/>
        </w:rPr>
        <w:t xml:space="preserve"> </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Указанные «бесхозяйные» тепловые сети подпадают под понятие опасного производственного объекта, и соответственно, должны быть зарегистрированы в государственно реестре опасных производственных объектов, сведения о них должны быть внесены в лицензию эксплуатирующей организации. Эксплуатация указанных тепловых сетей должна осуществляться в соответствии с требованиями законодательства по промышленной безопасности.</w:t>
      </w:r>
      <w:r w:rsidR="00F4026A"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При этом администрацией г.о.Самара не принимаются меры по оформлению права собственности на бесхозяйные сети в соответствии с Гражданским Кодексом, что не позволяет поставить «бесхозяйные» тепловые сети на учет в органах Ростехнадзора.</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Согласно представленной в 2019 г</w:t>
      </w:r>
      <w:r w:rsidR="001A33AE" w:rsidRPr="00BA68B5">
        <w:rPr>
          <w:rFonts w:ascii="Times New Roman" w:eastAsia="Times New Roman" w:hAnsi="Times New Roman" w:cs="Times New Roman"/>
          <w:sz w:val="28"/>
          <w:szCs w:val="28"/>
          <w:lang w:eastAsia="ar-SA"/>
        </w:rPr>
        <w:t>оду</w:t>
      </w:r>
      <w:r w:rsidRPr="00BA68B5">
        <w:rPr>
          <w:rFonts w:ascii="Times New Roman" w:eastAsia="Times New Roman" w:hAnsi="Times New Roman" w:cs="Times New Roman"/>
          <w:sz w:val="28"/>
          <w:szCs w:val="28"/>
          <w:lang w:eastAsia="ar-SA"/>
        </w:rPr>
        <w:t xml:space="preserve"> </w:t>
      </w:r>
      <w:r w:rsidR="005D7F4A" w:rsidRPr="00BA68B5">
        <w:rPr>
          <w:rFonts w:ascii="Times New Roman" w:eastAsia="Times New Roman" w:hAnsi="Times New Roman" w:cs="Times New Roman"/>
          <w:sz w:val="28"/>
          <w:szCs w:val="28"/>
          <w:lang w:eastAsia="ar-SA"/>
        </w:rPr>
        <w:t>д</w:t>
      </w:r>
      <w:r w:rsidRPr="00BA68B5">
        <w:rPr>
          <w:rFonts w:ascii="Times New Roman" w:eastAsia="Times New Roman" w:hAnsi="Times New Roman" w:cs="Times New Roman"/>
          <w:sz w:val="28"/>
          <w:szCs w:val="28"/>
          <w:lang w:eastAsia="ar-SA"/>
        </w:rPr>
        <w:t>орожной карт</w:t>
      </w:r>
      <w:r w:rsidR="001A33AE" w:rsidRPr="00BA68B5">
        <w:rPr>
          <w:rFonts w:ascii="Times New Roman" w:eastAsia="Times New Roman" w:hAnsi="Times New Roman" w:cs="Times New Roman"/>
          <w:sz w:val="28"/>
          <w:szCs w:val="28"/>
          <w:lang w:eastAsia="ar-SA"/>
        </w:rPr>
        <w:t>е</w:t>
      </w:r>
      <w:r w:rsidRPr="00BA68B5">
        <w:rPr>
          <w:rFonts w:ascii="Times New Roman" w:eastAsia="Times New Roman" w:hAnsi="Times New Roman" w:cs="Times New Roman"/>
          <w:sz w:val="28"/>
          <w:szCs w:val="28"/>
          <w:lang w:eastAsia="ar-SA"/>
        </w:rPr>
        <w:t xml:space="preserve">, подписанной </w:t>
      </w:r>
      <w:r w:rsidR="001A33AE" w:rsidRPr="00BA68B5">
        <w:rPr>
          <w:rFonts w:ascii="Times New Roman" w:eastAsia="Times New Roman" w:hAnsi="Times New Roman" w:cs="Times New Roman"/>
          <w:sz w:val="28"/>
          <w:szCs w:val="28"/>
          <w:lang w:eastAsia="ar-SA"/>
        </w:rPr>
        <w:t>и</w:t>
      </w:r>
      <w:r w:rsidRPr="00BA68B5">
        <w:rPr>
          <w:rFonts w:ascii="Times New Roman" w:eastAsia="Times New Roman" w:hAnsi="Times New Roman" w:cs="Times New Roman"/>
          <w:sz w:val="28"/>
          <w:szCs w:val="28"/>
          <w:lang w:eastAsia="ar-SA"/>
        </w:rPr>
        <w:t>.о. главы городского округа Самара</w:t>
      </w:r>
      <w:r w:rsidR="001A33AE"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постановку на муниципальный баланс бесхозяйных сетей планируется начать не ранее сентября 2021 года и окончить не позднее ноября 2029 года.</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Указанной дорожной картой предусматривалось не позднее 01.05.2020 завершить заключение договоров с подрядными организациями на оформление необходимых для постановки на учет бесхозяйных тепловых сетей документов.</w:t>
      </w:r>
      <w:r w:rsidR="001A33A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 xml:space="preserve">Сведений о выполнении указанного пункта </w:t>
      </w:r>
      <w:r w:rsidR="005D7F4A" w:rsidRPr="00BA68B5">
        <w:rPr>
          <w:rFonts w:ascii="Times New Roman" w:eastAsia="Times New Roman" w:hAnsi="Times New Roman" w:cs="Times New Roman"/>
          <w:sz w:val="28"/>
          <w:szCs w:val="28"/>
          <w:lang w:eastAsia="ar-SA"/>
        </w:rPr>
        <w:t>дорожной карты</w:t>
      </w:r>
      <w:r w:rsidRPr="00BA68B5">
        <w:rPr>
          <w:rFonts w:ascii="Times New Roman" w:eastAsia="Times New Roman" w:hAnsi="Times New Roman" w:cs="Times New Roman"/>
          <w:sz w:val="28"/>
          <w:szCs w:val="28"/>
          <w:lang w:eastAsia="ar-SA"/>
        </w:rPr>
        <w:t xml:space="preserve"> в </w:t>
      </w:r>
      <w:r w:rsidR="001A33AE" w:rsidRPr="00BA68B5">
        <w:rPr>
          <w:rFonts w:ascii="Times New Roman" w:eastAsia="Times New Roman" w:hAnsi="Times New Roman" w:cs="Times New Roman"/>
          <w:sz w:val="28"/>
          <w:szCs w:val="28"/>
          <w:lang w:eastAsia="ar-SA"/>
        </w:rPr>
        <w:t xml:space="preserve">Средне-Поволжское управление Ростехнадзора </w:t>
      </w:r>
      <w:r w:rsidRPr="00BA68B5">
        <w:rPr>
          <w:rFonts w:ascii="Times New Roman" w:eastAsia="Times New Roman" w:hAnsi="Times New Roman" w:cs="Times New Roman"/>
          <w:sz w:val="28"/>
          <w:szCs w:val="28"/>
          <w:lang w:eastAsia="ar-SA"/>
        </w:rPr>
        <w:t>представлено не было.</w:t>
      </w:r>
    </w:p>
    <w:p w:rsidR="005135AB" w:rsidRPr="00BA68B5" w:rsidRDefault="005135AB" w:rsidP="001A33AE">
      <w:pPr>
        <w:shd w:val="clear" w:color="auto" w:fill="FFFFFF"/>
        <w:suppressAutoHyphens/>
        <w:spacing w:after="160" w:line="360" w:lineRule="auto"/>
        <w:ind w:left="-57" w:firstLine="57"/>
        <w:jc w:val="center"/>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Ульяновская область</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Количество перекладок тепловых сетей недостаточно для планомерной замены, отслуживших расчётный срок службы трубопроводов тепловых сетей (менее 4 % в год), фактически не проводятся работы по технической диагностике тепловых сетей с целью определения их состояния и остаточного ресурса.</w:t>
      </w:r>
      <w:r w:rsidR="00F4026A" w:rsidRPr="00BA68B5">
        <w:rPr>
          <w:rFonts w:ascii="Times New Roman" w:eastAsia="Times New Roman" w:hAnsi="Times New Roman" w:cs="Times New Roman"/>
          <w:sz w:val="28"/>
          <w:szCs w:val="28"/>
          <w:lang w:eastAsia="ar-SA"/>
        </w:rPr>
        <w:t xml:space="preserve"> </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коммунальной энергетике проблемным является вопрос, связанный с наличием значительного парка физически и морально устаревшего оборудования, которое не всегда обеспечивает достаточный уровень надежности. Около 250 котельных морально и физически устарели. До 70% зарегистрированных котлов отработали нормативные сроки службы.</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Оборудование большинства ведомственных и муниципальных котельных эксплуатируется более 25 лет. Трубопроводы тепловых сетей, муниципальных образований, отслужившие расчётный срок службы (25 лет и более), составляют более 50 % от общей протяжённости тепловых сетей. Имеются факты эксплуатации трубопроводов тепловых сетей сроком более 50 лет. </w:t>
      </w:r>
    </w:p>
    <w:p w:rsidR="005135AB" w:rsidRPr="00BA68B5" w:rsidRDefault="005135AB" w:rsidP="001A33AE">
      <w:pPr>
        <w:shd w:val="clear" w:color="auto" w:fill="FFFFFF"/>
        <w:suppressAutoHyphens/>
        <w:spacing w:after="160" w:line="360" w:lineRule="auto"/>
        <w:ind w:left="-57" w:firstLine="57"/>
        <w:jc w:val="center"/>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Саратовская область</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Главной проблемой является старение энергетического оборудования. </w:t>
      </w:r>
      <w:r w:rsidR="0075211A" w:rsidRPr="00BA68B5">
        <w:rPr>
          <w:rFonts w:ascii="Times New Roman" w:eastAsia="Times New Roman" w:hAnsi="Times New Roman" w:cs="Times New Roman"/>
          <w:sz w:val="28"/>
          <w:szCs w:val="28"/>
          <w:lang w:eastAsia="ar-SA"/>
        </w:rPr>
        <w:br/>
      </w:r>
      <w:r w:rsidRPr="00BA68B5">
        <w:rPr>
          <w:rFonts w:ascii="Times New Roman" w:eastAsia="Times New Roman" w:hAnsi="Times New Roman" w:cs="Times New Roman"/>
          <w:sz w:val="28"/>
          <w:szCs w:val="28"/>
          <w:lang w:eastAsia="ar-SA"/>
        </w:rPr>
        <w:t>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w:t>
      </w:r>
      <w:r w:rsidR="0075211A"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Оборудование большинства ведомственных и муниципальных котельных эксплуатируется более 25 лет.</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5135AB" w:rsidRPr="00BA68B5" w:rsidRDefault="0075211A"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w:t>
      </w:r>
      <w:r w:rsidR="005135AB" w:rsidRPr="00BA68B5">
        <w:rPr>
          <w:rFonts w:ascii="Times New Roman" w:eastAsia="Times New Roman" w:hAnsi="Times New Roman" w:cs="Times New Roman"/>
          <w:sz w:val="28"/>
          <w:szCs w:val="28"/>
          <w:lang w:eastAsia="ar-SA"/>
        </w:rPr>
        <w:t>ысокий процент износа основных производственных фондов;</w:t>
      </w:r>
    </w:p>
    <w:p w:rsidR="005135AB" w:rsidRPr="00BA68B5" w:rsidRDefault="0075211A"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р</w:t>
      </w:r>
      <w:r w:rsidR="005135AB" w:rsidRPr="00BA68B5">
        <w:rPr>
          <w:rFonts w:ascii="Times New Roman" w:eastAsia="Times New Roman" w:hAnsi="Times New Roman" w:cs="Times New Roman"/>
          <w:sz w:val="28"/>
          <w:szCs w:val="28"/>
          <w:lang w:eastAsia="ar-SA"/>
        </w:rPr>
        <w:t>еформирование предприятий электроэнергетики;</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вывод ремонтного персонала за штат предприятия с понижением оклада и должности, вследствие чего происходит отток квалифицированных кадров;</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уменьшение численного состава эксплуатационного персонала;</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длительный срок заключения договоров на проведение ремонтных, монтажных  работ с подрядными организациями;</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низкий уровень подготовки персонала подрядных организаций, выполняющих работы на поднадзорных объектах электроэнергетики; </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5135AB" w:rsidRPr="00BA68B5" w:rsidRDefault="005135AB" w:rsidP="005135AB">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прекращение финансирования инвестиционных проектов кру</w:t>
      </w:r>
      <w:r w:rsidR="0075211A" w:rsidRPr="00BA68B5">
        <w:rPr>
          <w:rFonts w:ascii="Times New Roman" w:eastAsia="Times New Roman" w:hAnsi="Times New Roman" w:cs="Times New Roman"/>
          <w:sz w:val="28"/>
          <w:szCs w:val="28"/>
          <w:lang w:eastAsia="ar-SA"/>
        </w:rPr>
        <w:t>пных электросетевых организаций</w:t>
      </w:r>
    </w:p>
    <w:p w:rsidR="005135AB" w:rsidRPr="00BA68B5" w:rsidRDefault="005135AB" w:rsidP="0075211A">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В соответствии с приказом Федеральной службы по экологическому, технологическому и атомному надзору от 08 июля 2020 г. № 267 «О контроле хода подготовки объектов электроэнергетики и теплоснабжения к работе в осенне-зимний период 2020-2021 годов», изданного на основании поручения Правительства Российской Федерации от 03 июля 2020 г. № ЮБ-П9-71409, а так же приказом </w:t>
      </w:r>
      <w:r w:rsidR="005C7B13" w:rsidRPr="00BA68B5">
        <w:rPr>
          <w:rFonts w:ascii="Times New Roman" w:eastAsia="Times New Roman" w:hAnsi="Times New Roman" w:cs="Times New Roman"/>
          <w:sz w:val="28"/>
          <w:szCs w:val="28"/>
          <w:lang w:eastAsia="ar-SA"/>
        </w:rPr>
        <w:t>Средне-Поволжского управления Ростехнадзора</w:t>
      </w:r>
      <w:r w:rsidRPr="00BA68B5">
        <w:rPr>
          <w:rFonts w:ascii="Times New Roman" w:eastAsia="Times New Roman" w:hAnsi="Times New Roman" w:cs="Times New Roman"/>
          <w:sz w:val="28"/>
          <w:szCs w:val="28"/>
          <w:lang w:eastAsia="ar-SA"/>
        </w:rPr>
        <w:t xml:space="preserve"> от 09 июля </w:t>
      </w:r>
      <w:r w:rsidR="005C7B13" w:rsidRPr="00BA68B5">
        <w:rPr>
          <w:rFonts w:ascii="Times New Roman" w:eastAsia="Times New Roman" w:hAnsi="Times New Roman" w:cs="Times New Roman"/>
          <w:sz w:val="28"/>
          <w:szCs w:val="28"/>
          <w:lang w:eastAsia="ar-SA"/>
        </w:rPr>
        <w:br/>
      </w:r>
      <w:r w:rsidRPr="00BA68B5">
        <w:rPr>
          <w:rFonts w:ascii="Times New Roman" w:eastAsia="Times New Roman" w:hAnsi="Times New Roman" w:cs="Times New Roman"/>
          <w:sz w:val="28"/>
          <w:szCs w:val="28"/>
          <w:lang w:eastAsia="ar-SA"/>
        </w:rPr>
        <w:t xml:space="preserve">2020 г. №ПР-301-331-О «О контроле хода подготовки объектов электроэнергетики и теплоснабжения работе в осенне-зимний период 2020-2021 годов» запланированы внеплановые выездные проверки в отношении 243 теплоснабжающих и теплосетевых организации и 83 субъектов электроэнергетики.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w:t>
      </w:r>
      <w:r w:rsidR="006D1CD2" w:rsidRPr="00BA68B5">
        <w:rPr>
          <w:rFonts w:ascii="Times New Roman" w:eastAsia="Times New Roman" w:hAnsi="Times New Roman" w:cs="Times New Roman"/>
          <w:sz w:val="28"/>
          <w:szCs w:val="28"/>
          <w:lang w:eastAsia="ar-SA"/>
        </w:rPr>
        <w:t>,</w:t>
      </w:r>
      <w:r w:rsidRPr="00BA68B5">
        <w:rPr>
          <w:rFonts w:ascii="Times New Roman" w:eastAsia="Times New Roman" w:hAnsi="Times New Roman" w:cs="Times New Roman"/>
          <w:sz w:val="28"/>
          <w:szCs w:val="28"/>
          <w:lang w:eastAsia="ar-SA"/>
        </w:rPr>
        <w:t xml:space="preserve"> осуществляется ведение реестра по согласованию границ охранной зоны объектов электросетевого хозяйства на территории Самарской области.</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За отчетный период в </w:t>
      </w:r>
      <w:r w:rsidR="00730F09" w:rsidRPr="00BA68B5">
        <w:rPr>
          <w:rFonts w:ascii="Times New Roman" w:eastAsia="Times New Roman" w:hAnsi="Times New Roman" w:cs="Times New Roman"/>
          <w:sz w:val="28"/>
          <w:szCs w:val="28"/>
          <w:lang w:eastAsia="ar-SA"/>
        </w:rPr>
        <w:t>Средне-Поволжское у</w:t>
      </w:r>
      <w:r w:rsidRPr="00BA68B5">
        <w:rPr>
          <w:rFonts w:ascii="Times New Roman" w:eastAsia="Times New Roman" w:hAnsi="Times New Roman" w:cs="Times New Roman"/>
          <w:sz w:val="28"/>
          <w:szCs w:val="28"/>
          <w:lang w:eastAsia="ar-SA"/>
        </w:rPr>
        <w:t>правление</w:t>
      </w:r>
      <w:r w:rsidR="00730F09" w:rsidRPr="00BA68B5">
        <w:rPr>
          <w:rFonts w:ascii="Times New Roman" w:eastAsia="Times New Roman" w:hAnsi="Times New Roman" w:cs="Times New Roman"/>
          <w:sz w:val="28"/>
          <w:szCs w:val="28"/>
          <w:lang w:eastAsia="ar-SA"/>
        </w:rPr>
        <w:t xml:space="preserve"> Ростехнадзора</w:t>
      </w:r>
      <w:r w:rsidRPr="00BA68B5">
        <w:rPr>
          <w:rFonts w:ascii="Times New Roman" w:eastAsia="Times New Roman" w:hAnsi="Times New Roman" w:cs="Times New Roman"/>
          <w:sz w:val="28"/>
          <w:szCs w:val="28"/>
          <w:lang w:eastAsia="ar-SA"/>
        </w:rPr>
        <w:t xml:space="preserve"> поступило 118</w:t>
      </w:r>
      <w:r w:rsidR="0098228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заявлений о согласовании границ охранных зон объектов электросетевого хозяйства и объектов по производству электрической энергии. Отказано в согласовании –98</w:t>
      </w:r>
      <w:r w:rsidR="0098228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(по причине представления не полного пакета документов), согласовано – 20.</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
    <w:p w:rsidR="006D1CD2"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Работа с обращениями граждан, юридических лиц и индивидуальных предпринимателей в </w:t>
      </w:r>
      <w:r w:rsidR="00730F09" w:rsidRPr="00BA68B5">
        <w:rPr>
          <w:rFonts w:ascii="Times New Roman" w:eastAsia="Times New Roman" w:hAnsi="Times New Roman" w:cs="Times New Roman"/>
          <w:sz w:val="28"/>
          <w:szCs w:val="28"/>
          <w:lang w:eastAsia="ar-SA"/>
        </w:rPr>
        <w:t>Средне-Поволжском у</w:t>
      </w:r>
      <w:r w:rsidRPr="00BA68B5">
        <w:rPr>
          <w:rFonts w:ascii="Times New Roman" w:eastAsia="Times New Roman" w:hAnsi="Times New Roman" w:cs="Times New Roman"/>
          <w:sz w:val="28"/>
          <w:szCs w:val="28"/>
          <w:lang w:eastAsia="ar-SA"/>
        </w:rPr>
        <w:t>правлении</w:t>
      </w:r>
      <w:r w:rsidR="00730F09" w:rsidRPr="00BA68B5">
        <w:rPr>
          <w:rFonts w:ascii="Times New Roman" w:eastAsia="Times New Roman" w:hAnsi="Times New Roman" w:cs="Times New Roman"/>
          <w:sz w:val="28"/>
          <w:szCs w:val="28"/>
          <w:lang w:eastAsia="ar-SA"/>
        </w:rPr>
        <w:t xml:space="preserve"> Ростехнадзора</w:t>
      </w:r>
      <w:r w:rsidRPr="00BA68B5">
        <w:rPr>
          <w:rFonts w:ascii="Times New Roman" w:eastAsia="Times New Roman" w:hAnsi="Times New Roman" w:cs="Times New Roman"/>
          <w:sz w:val="28"/>
          <w:szCs w:val="28"/>
          <w:lang w:eastAsia="ar-SA"/>
        </w:rPr>
        <w:t xml:space="preserve"> ведется в соответствии с Федеральным законом от 2 мая 2006 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Все полученные обращения находятся на особом контроле руководителя. </w:t>
      </w:r>
      <w:r w:rsidR="006D1CD2" w:rsidRPr="00BA68B5">
        <w:rPr>
          <w:rFonts w:ascii="Times New Roman" w:eastAsia="Times New Roman" w:hAnsi="Times New Roman" w:cs="Times New Roman"/>
          <w:sz w:val="28"/>
          <w:szCs w:val="28"/>
          <w:lang w:eastAsia="ar-SA"/>
        </w:rPr>
        <w:t>З</w:t>
      </w:r>
      <w:r w:rsidRPr="00BA68B5">
        <w:rPr>
          <w:rFonts w:ascii="Times New Roman" w:eastAsia="Times New Roman" w:hAnsi="Times New Roman" w:cs="Times New Roman"/>
          <w:sz w:val="28"/>
          <w:szCs w:val="28"/>
          <w:lang w:eastAsia="ar-SA"/>
        </w:rPr>
        <w:t>а 6 месяцев 2020</w:t>
      </w:r>
      <w:r w:rsidR="00982283"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г</w:t>
      </w:r>
      <w:r w:rsidR="00982283" w:rsidRPr="00BA68B5">
        <w:rPr>
          <w:rFonts w:ascii="Times New Roman" w:eastAsia="Times New Roman" w:hAnsi="Times New Roman" w:cs="Times New Roman"/>
          <w:sz w:val="28"/>
          <w:szCs w:val="28"/>
          <w:lang w:eastAsia="ar-SA"/>
        </w:rPr>
        <w:t>ода</w:t>
      </w:r>
      <w:r w:rsidRPr="00BA68B5">
        <w:rPr>
          <w:rFonts w:ascii="Times New Roman" w:eastAsia="Times New Roman" w:hAnsi="Times New Roman" w:cs="Times New Roman"/>
          <w:sz w:val="28"/>
          <w:szCs w:val="28"/>
          <w:lang w:eastAsia="ar-SA"/>
        </w:rPr>
        <w:t xml:space="preserve"> рассмотрено 83 обращения граждан. </w:t>
      </w:r>
    </w:p>
    <w:p w:rsidR="00847701" w:rsidRPr="00BA68B5" w:rsidRDefault="00982283"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Анализ поступивших в 2020 году</w:t>
      </w:r>
      <w:r w:rsidR="00847701"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 xml:space="preserve">в Средне-Поволжское управление Ростехнадзора </w:t>
      </w:r>
      <w:r w:rsidR="00847701" w:rsidRPr="00BA68B5">
        <w:rPr>
          <w:rFonts w:ascii="Times New Roman" w:eastAsia="Times New Roman" w:hAnsi="Times New Roman" w:cs="Times New Roman"/>
          <w:sz w:val="28"/>
          <w:szCs w:val="28"/>
          <w:lang w:eastAsia="ar-SA"/>
        </w:rPr>
        <w:t xml:space="preserve">обращений граждан показывает, что их тематика распределилась следующим образом: по вопросам неудовлетворительного состояния электрических сетей и организации эксплуатации </w:t>
      </w:r>
      <w:r w:rsidR="006D1CD2" w:rsidRPr="00BA68B5">
        <w:rPr>
          <w:rFonts w:ascii="Times New Roman" w:eastAsia="Times New Roman" w:hAnsi="Times New Roman" w:cs="Times New Roman"/>
          <w:sz w:val="28"/>
          <w:szCs w:val="28"/>
          <w:lang w:eastAsia="ar-SA"/>
        </w:rPr>
        <w:t>–</w:t>
      </w:r>
      <w:r w:rsidR="00847701" w:rsidRPr="00BA68B5">
        <w:rPr>
          <w:rFonts w:ascii="Times New Roman" w:eastAsia="Times New Roman" w:hAnsi="Times New Roman" w:cs="Times New Roman"/>
          <w:sz w:val="28"/>
          <w:szCs w:val="28"/>
          <w:lang w:eastAsia="ar-SA"/>
        </w:rPr>
        <w:t xml:space="preserve"> 33 %; по вопросам нарушения электроснабжения и</w:t>
      </w:r>
      <w:r w:rsidRPr="00BA68B5">
        <w:rPr>
          <w:rFonts w:ascii="Times New Roman" w:eastAsia="Times New Roman" w:hAnsi="Times New Roman" w:cs="Times New Roman"/>
          <w:sz w:val="28"/>
          <w:szCs w:val="28"/>
          <w:lang w:eastAsia="ar-SA"/>
        </w:rPr>
        <w:t xml:space="preserve"> качества электроэнергии – 33%; </w:t>
      </w:r>
      <w:r w:rsidR="00847701" w:rsidRPr="00BA68B5">
        <w:rPr>
          <w:rFonts w:ascii="Times New Roman" w:eastAsia="Times New Roman" w:hAnsi="Times New Roman" w:cs="Times New Roman"/>
          <w:sz w:val="28"/>
          <w:szCs w:val="28"/>
          <w:lang w:eastAsia="ar-SA"/>
        </w:rPr>
        <w:t xml:space="preserve">по вопросам установки приборов учета тепловой энергии </w:t>
      </w:r>
      <w:r w:rsidR="006D1CD2" w:rsidRPr="00BA68B5">
        <w:rPr>
          <w:rFonts w:ascii="Times New Roman" w:eastAsia="Times New Roman" w:hAnsi="Times New Roman" w:cs="Times New Roman"/>
          <w:sz w:val="28"/>
          <w:szCs w:val="28"/>
          <w:lang w:eastAsia="ar-SA"/>
        </w:rPr>
        <w:t>–</w:t>
      </w:r>
      <w:r w:rsidR="00847701" w:rsidRPr="00BA68B5">
        <w:rPr>
          <w:rFonts w:ascii="Times New Roman" w:eastAsia="Times New Roman" w:hAnsi="Times New Roman" w:cs="Times New Roman"/>
          <w:sz w:val="28"/>
          <w:szCs w:val="28"/>
          <w:lang w:eastAsia="ar-SA"/>
        </w:rPr>
        <w:t xml:space="preserve"> 17 %,  по вопросам, не входящих в компетенцию </w:t>
      </w:r>
      <w:r w:rsidR="00730F09" w:rsidRPr="00BA68B5">
        <w:rPr>
          <w:rFonts w:ascii="Times New Roman" w:eastAsia="Times New Roman" w:hAnsi="Times New Roman" w:cs="Times New Roman"/>
          <w:sz w:val="28"/>
          <w:szCs w:val="28"/>
          <w:lang w:eastAsia="ar-SA"/>
        </w:rPr>
        <w:t>Ростехнадзора</w:t>
      </w:r>
      <w:r w:rsidR="00847701"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 xml:space="preserve"> </w:t>
      </w:r>
      <w:r w:rsidR="00847701" w:rsidRPr="00BA68B5">
        <w:rPr>
          <w:rFonts w:ascii="Times New Roman" w:eastAsia="Times New Roman" w:hAnsi="Times New Roman" w:cs="Times New Roman"/>
          <w:sz w:val="28"/>
          <w:szCs w:val="28"/>
          <w:lang w:eastAsia="ar-SA"/>
        </w:rPr>
        <w:t>16%.</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 xml:space="preserve">Материалы по вопросам, не относящимся к сфере деятельности </w:t>
      </w:r>
      <w:r w:rsidR="00730F09" w:rsidRPr="00BA68B5">
        <w:rPr>
          <w:rFonts w:ascii="Times New Roman" w:eastAsia="Times New Roman" w:hAnsi="Times New Roman" w:cs="Times New Roman"/>
          <w:sz w:val="28"/>
          <w:szCs w:val="28"/>
          <w:lang w:eastAsia="ar-SA"/>
        </w:rPr>
        <w:t>Средне-Поволжского у</w:t>
      </w:r>
      <w:r w:rsidRPr="00BA68B5">
        <w:rPr>
          <w:rFonts w:ascii="Times New Roman" w:eastAsia="Times New Roman" w:hAnsi="Times New Roman" w:cs="Times New Roman"/>
          <w:sz w:val="28"/>
          <w:szCs w:val="28"/>
          <w:lang w:eastAsia="ar-SA"/>
        </w:rPr>
        <w:t>правления</w:t>
      </w:r>
      <w:r w:rsidR="00730F09" w:rsidRPr="00BA68B5">
        <w:rPr>
          <w:rFonts w:ascii="Times New Roman" w:eastAsia="Times New Roman" w:hAnsi="Times New Roman" w:cs="Times New Roman"/>
          <w:sz w:val="28"/>
          <w:szCs w:val="28"/>
          <w:lang w:eastAsia="ar-SA"/>
        </w:rPr>
        <w:t xml:space="preserve"> Ростехнадзора</w:t>
      </w:r>
      <w:r w:rsidRPr="00BA68B5">
        <w:rPr>
          <w:rFonts w:ascii="Times New Roman" w:eastAsia="Times New Roman" w:hAnsi="Times New Roman" w:cs="Times New Roman"/>
          <w:sz w:val="28"/>
          <w:szCs w:val="28"/>
          <w:lang w:eastAsia="ar-SA"/>
        </w:rPr>
        <w:t xml:space="preserve">, после их рассмотрения в установленные сроки, направлялись для рассмотрения в органы исполнительной власти и другие надзорные органы по подведомственности. Заявителям давались соответствующие разъяснения. </w:t>
      </w:r>
    </w:p>
    <w:p w:rsidR="00847701" w:rsidRPr="00BA68B5" w:rsidRDefault="00847701" w:rsidP="00847701">
      <w:pPr>
        <w:shd w:val="clear" w:color="auto" w:fill="FFFFFF"/>
        <w:suppressAutoHyphens/>
        <w:spacing w:after="16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Анализ поступивших обращений показывает, что основными причинами, послужившими основанием для обращения граждан, явились действия юридических лиц, нарушающих законодательство Российской Федерации при осуществлении ими хозяйственной деятельности, в том числе, при нарушении границ охранных зон воздушных линий электропередачи напряжением 6-10 кВ и выше.</w:t>
      </w:r>
      <w:r w:rsidR="00DD450E" w:rsidRPr="00BA68B5">
        <w:rPr>
          <w:rFonts w:ascii="Times New Roman" w:eastAsia="Times New Roman" w:hAnsi="Times New Roman" w:cs="Times New Roman"/>
          <w:sz w:val="28"/>
          <w:szCs w:val="28"/>
          <w:lang w:eastAsia="ar-SA"/>
        </w:rPr>
        <w:t xml:space="preserve"> </w:t>
      </w:r>
      <w:r w:rsidRPr="00BA68B5">
        <w:rPr>
          <w:rFonts w:ascii="Times New Roman" w:eastAsia="Times New Roman" w:hAnsi="Times New Roman" w:cs="Times New Roman"/>
          <w:sz w:val="28"/>
          <w:szCs w:val="28"/>
          <w:lang w:eastAsia="ar-SA"/>
        </w:rPr>
        <w:t>В адрес главы г.о. Самары направлено информационное письмо о размещении некапитальных объектов в охранных зонах линий электропередач напряжением 110-220кВ и нарушении ст.9.8 КоАП РФ.</w:t>
      </w:r>
    </w:p>
    <w:p w:rsidR="00847701" w:rsidRPr="00BA68B5" w:rsidRDefault="00847701" w:rsidP="00E97141">
      <w:pPr>
        <w:pStyle w:val="affe"/>
        <w:rPr>
          <w:lang w:eastAsia="ar-SA"/>
        </w:rPr>
      </w:pPr>
    </w:p>
    <w:p w:rsidR="00104043" w:rsidRPr="00BA68B5" w:rsidRDefault="00B421E9" w:rsidP="004D4302">
      <w:pPr>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BA68B5">
        <w:rPr>
          <w:rFonts w:ascii="Times New Roman" w:hAnsi="Times New Roman" w:cs="Times New Roman"/>
          <w:b/>
          <w:sz w:val="28"/>
          <w:szCs w:val="28"/>
        </w:rPr>
        <w:t>Федеральный государственный надзор в области безопасности гидротехнических сооружений</w:t>
      </w:r>
    </w:p>
    <w:p w:rsidR="00B421E9" w:rsidRPr="00BA68B5" w:rsidRDefault="00B421E9" w:rsidP="00BD56B2">
      <w:pPr>
        <w:pStyle w:val="affe"/>
        <w:spacing w:line="360" w:lineRule="auto"/>
        <w:rPr>
          <w:rFonts w:ascii="Times New Roman" w:hAnsi="Times New Roman"/>
          <w:sz w:val="28"/>
          <w:szCs w:val="28"/>
        </w:rPr>
      </w:pPr>
    </w:p>
    <w:p w:rsidR="00BB6689" w:rsidRPr="00BA68B5" w:rsidRDefault="00BB6689" w:rsidP="00BB6689">
      <w:pPr>
        <w:autoSpaceDE w:val="0"/>
        <w:autoSpaceDN w:val="0"/>
        <w:adjustRightInd w:val="0"/>
        <w:spacing w:after="0" w:line="360" w:lineRule="auto"/>
        <w:ind w:left="-57" w:firstLine="766"/>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Федеральный государственный надзор в сфере безопасности гидротехнических сооружений осуществляется в соответствии с Федеральным законом от 21.07.1997 №117-ФЗ «О безопасности гидротехнических сооружений».</w:t>
      </w:r>
    </w:p>
    <w:p w:rsidR="00BB6689" w:rsidRPr="00BA68B5" w:rsidRDefault="00BB6689" w:rsidP="00BB6689">
      <w:pPr>
        <w:autoSpaceDE w:val="0"/>
        <w:autoSpaceDN w:val="0"/>
        <w:adjustRightInd w:val="0"/>
        <w:spacing w:after="0" w:line="360" w:lineRule="auto"/>
        <w:ind w:left="-57" w:firstLine="766"/>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Основными направлениями деятельности в сфере осуществления федерального государственного надзора в сфере безопасности гидротехнических сооружений являются:</w:t>
      </w:r>
    </w:p>
    <w:p w:rsidR="00BB6689" w:rsidRPr="00BA68B5" w:rsidRDefault="00BB6689" w:rsidP="00BB6689">
      <w:pPr>
        <w:autoSpaceDE w:val="0"/>
        <w:autoSpaceDN w:val="0"/>
        <w:adjustRightInd w:val="0"/>
        <w:spacing w:after="0" w:line="360" w:lineRule="auto"/>
        <w:ind w:left="-57" w:firstLine="766"/>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осуществление постоянного надзора на объектах </w:t>
      </w:r>
      <w:r w:rsidRPr="00BA68B5">
        <w:rPr>
          <w:rFonts w:ascii="Times New Roman" w:eastAsia="Times New Roman" w:hAnsi="Times New Roman" w:cs="Times New Roman"/>
          <w:sz w:val="28"/>
          <w:szCs w:val="28"/>
          <w:lang w:val="en-US" w:eastAsia="ru-RU"/>
        </w:rPr>
        <w:t>I</w:t>
      </w:r>
      <w:r w:rsidRPr="00BA68B5">
        <w:rPr>
          <w:rFonts w:ascii="Times New Roman" w:eastAsia="Times New Roman" w:hAnsi="Times New Roman" w:cs="Times New Roman"/>
          <w:sz w:val="28"/>
          <w:szCs w:val="28"/>
          <w:lang w:eastAsia="ru-RU"/>
        </w:rPr>
        <w:t xml:space="preserve"> класса опасности;</w:t>
      </w:r>
    </w:p>
    <w:p w:rsidR="00BB6689" w:rsidRPr="00BA68B5" w:rsidRDefault="00BB6689" w:rsidP="00BB6689">
      <w:pPr>
        <w:widowControl w:val="0"/>
        <w:tabs>
          <w:tab w:val="left" w:pos="567"/>
        </w:tabs>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надзор за соблюдением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(за исключением судоходных и портовых гидротехнических сооружений);</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выдача разрешений на эксплуатацию гидротехнических сооружений (за исключением судоходных и портовых  гидротехнических сооружений); </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согласование правил эксплуатации гидротехнических сооружений (за исключением судоходных и портовых гидротехнических сооружений); </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утверждение декларации безопасности гидротехнических сооружений (за исключением судоходных и портовых гидротехнических сооружений) и т.д. </w:t>
      </w:r>
    </w:p>
    <w:p w:rsidR="00BB6689" w:rsidRPr="00BA68B5" w:rsidRDefault="00BB6689" w:rsidP="00BB6689">
      <w:pPr>
        <w:suppressAutoHyphens/>
        <w:spacing w:after="0" w:line="360" w:lineRule="auto"/>
        <w:ind w:left="-57" w:firstLine="766"/>
        <w:jc w:val="both"/>
        <w:rPr>
          <w:rFonts w:ascii="Times New Roman" w:eastAsia="Times New Roman" w:hAnsi="Times New Roman" w:cs="Times New Roman"/>
          <w:sz w:val="28"/>
          <w:szCs w:val="28"/>
          <w:lang w:eastAsia="ar-SA"/>
        </w:rPr>
      </w:pPr>
      <w:r w:rsidRPr="00BA68B5">
        <w:rPr>
          <w:rFonts w:ascii="Times New Roman" w:eastAsia="Times New Roman" w:hAnsi="Times New Roman" w:cs="Times New Roman"/>
          <w:sz w:val="28"/>
          <w:szCs w:val="28"/>
          <w:lang w:eastAsia="ar-SA"/>
        </w:rPr>
        <w:t>Общее количество поднадзорных Средне-Поволжскому управлению Ростехнадзора гидротехнических сооружений составляет 1141 объект.</w:t>
      </w:r>
    </w:p>
    <w:p w:rsidR="00BB6689" w:rsidRPr="00BA68B5" w:rsidRDefault="00BB6689" w:rsidP="00BB6689">
      <w:pPr>
        <w:spacing w:line="360" w:lineRule="auto"/>
        <w:ind w:left="142" w:firstLine="766"/>
        <w:contextualSpacing/>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 отчетный период в рамках надзорной деятельности Средне-Поволжским управлением Ростехнадзора проведено 356 проверок гидротехнических сооружений, из них 31 плановая проверка, 295 внеплановых проверок и 30 проверок, проведенных в рамках режима постоянного государственного надзора.</w:t>
      </w:r>
    </w:p>
    <w:p w:rsidR="00BB6689" w:rsidRPr="00BA68B5" w:rsidRDefault="00BB6689" w:rsidP="00BB6689">
      <w:pPr>
        <w:spacing w:line="360" w:lineRule="auto"/>
        <w:ind w:left="142" w:firstLine="766"/>
        <w:contextualSpacing/>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В ходе проведения проверок выявлено 1417 нарушений обязательных требований законодательства по безопасной эксплуатации ГТС. Количество административных наказаний составило 52, из них по плановым проверкам – 20, по внеплановым проверкам – 17, в рамках постоянного надзора – 15. Составлено 84 протокола об административном правонарушении по ст. 9.2., ст. 19.7, ст. 9.11 КоАП Российской Федерации. Сумма наложенных штрафов составила 449,4 тыс. рублей. Взыскано 254,1 тыс. рублей.</w:t>
      </w:r>
    </w:p>
    <w:p w:rsidR="00BB6689" w:rsidRPr="00BA68B5" w:rsidRDefault="00BB6689" w:rsidP="00BB6689">
      <w:pPr>
        <w:spacing w:line="360" w:lineRule="auto"/>
        <w:ind w:left="142" w:firstLine="766"/>
        <w:contextualSpacing/>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 6 месяцев 2020 года на поднадзорных предприятиях Самарской, Саратовской, Пензенской и Ульяновской области не зафиксировано аварий, подлежащих расследованию комиссией Ростехнадзора. За 6 месяцев 2020 года, как и за аналогичный период 2019 года, на поднадзорных предприятиях несчастных случаев со смертельным исходом не зарегистрировано.</w:t>
      </w:r>
    </w:p>
    <w:p w:rsidR="00BB6689" w:rsidRPr="00BA68B5" w:rsidRDefault="00BB6689" w:rsidP="00BB6689">
      <w:pPr>
        <w:spacing w:after="0" w:line="360" w:lineRule="auto"/>
        <w:ind w:firstLine="766"/>
        <w:jc w:val="both"/>
        <w:rPr>
          <w:rFonts w:ascii="Times New Roman" w:eastAsia="Calibri" w:hAnsi="Times New Roman" w:cs="Times New Roman"/>
          <w:sz w:val="28"/>
          <w:szCs w:val="28"/>
          <w:lang w:eastAsia="ar-SA"/>
        </w:rPr>
      </w:pPr>
      <w:r w:rsidRPr="00BA68B5">
        <w:rPr>
          <w:rFonts w:ascii="Times New Roman" w:eastAsia="Calibri" w:hAnsi="Times New Roman" w:cs="Times New Roman"/>
          <w:sz w:val="28"/>
          <w:szCs w:val="28"/>
          <w:lang w:eastAsia="ar-SA"/>
        </w:rPr>
        <w:t>Нарушения законодательства Российской Федерации в области безопасности гидротехнических сооружений в основном связаны с отсутствием:</w:t>
      </w:r>
    </w:p>
    <w:p w:rsidR="00BB6689" w:rsidRPr="00BA68B5" w:rsidRDefault="00BB6689" w:rsidP="00BB6689">
      <w:pPr>
        <w:suppressAutoHyphens/>
        <w:spacing w:after="160" w:line="360" w:lineRule="auto"/>
        <w:ind w:left="-57" w:firstLine="766"/>
        <w:jc w:val="both"/>
        <w:rPr>
          <w:rFonts w:ascii="Times New Roman" w:eastAsia="SimSun" w:hAnsi="Times New Roman" w:cs="Times New Roman"/>
          <w:sz w:val="28"/>
          <w:szCs w:val="28"/>
          <w:lang w:eastAsia="ar-SA"/>
        </w:rPr>
      </w:pPr>
      <w:r w:rsidRPr="00BA68B5">
        <w:rPr>
          <w:rFonts w:ascii="Times New Roman" w:eastAsia="SimSun" w:hAnsi="Times New Roman" w:cs="Times New Roman"/>
          <w:sz w:val="28"/>
          <w:szCs w:val="28"/>
          <w:lang w:eastAsia="ar-SA"/>
        </w:rPr>
        <w:t>расчёта размера вероятного вреда, который может быть причинён жизни, здоровью физических лиц;</w:t>
      </w:r>
    </w:p>
    <w:p w:rsidR="00BB6689" w:rsidRPr="00BA68B5" w:rsidRDefault="00BB6689" w:rsidP="00BB6689">
      <w:pPr>
        <w:suppressAutoHyphens/>
        <w:spacing w:after="160" w:line="360" w:lineRule="auto"/>
        <w:ind w:left="-57" w:firstLine="766"/>
        <w:jc w:val="both"/>
        <w:rPr>
          <w:rFonts w:ascii="Times New Roman" w:eastAsia="SimSun" w:hAnsi="Times New Roman" w:cs="Times New Roman"/>
          <w:sz w:val="28"/>
          <w:szCs w:val="28"/>
          <w:lang w:eastAsia="ar-SA"/>
        </w:rPr>
      </w:pPr>
      <w:r w:rsidRPr="00BA68B5">
        <w:rPr>
          <w:rFonts w:ascii="Times New Roman" w:eastAsia="SimSun" w:hAnsi="Times New Roman" w:cs="Times New Roman"/>
          <w:sz w:val="28"/>
          <w:szCs w:val="28"/>
          <w:lang w:eastAsia="ar-SA"/>
        </w:rPr>
        <w:t>декларации безопасности гидротехнического сооружения;</w:t>
      </w:r>
    </w:p>
    <w:p w:rsidR="00BB6689" w:rsidRPr="00BA68B5" w:rsidRDefault="00BB6689" w:rsidP="00BB6689">
      <w:pPr>
        <w:suppressAutoHyphens/>
        <w:spacing w:after="160" w:line="360" w:lineRule="auto"/>
        <w:ind w:left="-57" w:firstLine="766"/>
        <w:jc w:val="both"/>
        <w:rPr>
          <w:rFonts w:ascii="Times New Roman" w:eastAsia="SimSun" w:hAnsi="Times New Roman" w:cs="Times New Roman"/>
          <w:sz w:val="28"/>
          <w:szCs w:val="28"/>
          <w:lang w:eastAsia="ar-SA"/>
        </w:rPr>
      </w:pPr>
      <w:r w:rsidRPr="00BA68B5">
        <w:rPr>
          <w:rFonts w:ascii="Times New Roman" w:eastAsia="SimSun" w:hAnsi="Times New Roman" w:cs="Times New Roman"/>
          <w:sz w:val="28"/>
          <w:szCs w:val="28"/>
          <w:lang w:eastAsia="ar-SA"/>
        </w:rPr>
        <w:t>правил эксплуатации ГТС;</w:t>
      </w:r>
    </w:p>
    <w:p w:rsidR="00BB6689" w:rsidRPr="00BA68B5" w:rsidRDefault="00BB6689" w:rsidP="00BB6689">
      <w:pPr>
        <w:suppressAutoHyphens/>
        <w:spacing w:after="160" w:line="360" w:lineRule="auto"/>
        <w:ind w:left="-57" w:firstLine="766"/>
        <w:jc w:val="both"/>
        <w:rPr>
          <w:rFonts w:ascii="Times New Roman" w:eastAsia="SimSun" w:hAnsi="Times New Roman" w:cs="Times New Roman"/>
          <w:sz w:val="28"/>
          <w:szCs w:val="28"/>
          <w:lang w:eastAsia="ar-SA"/>
        </w:rPr>
      </w:pPr>
      <w:r w:rsidRPr="00BA68B5">
        <w:rPr>
          <w:rFonts w:ascii="Times New Roman" w:eastAsia="SimSun" w:hAnsi="Times New Roman" w:cs="Times New Roman"/>
          <w:sz w:val="28"/>
          <w:szCs w:val="28"/>
          <w:lang w:eastAsia="ar-SA"/>
        </w:rPr>
        <w:t>ведение мониторинга за показателями состояния ГТС;</w:t>
      </w:r>
    </w:p>
    <w:p w:rsidR="00BB6689" w:rsidRPr="00BA68B5" w:rsidRDefault="00BB6689" w:rsidP="00BB6689">
      <w:pPr>
        <w:suppressAutoHyphens/>
        <w:spacing w:after="160" w:line="360" w:lineRule="auto"/>
        <w:ind w:left="-57" w:firstLine="766"/>
        <w:jc w:val="both"/>
        <w:rPr>
          <w:rFonts w:ascii="Times New Roman" w:eastAsia="SimSun" w:hAnsi="Times New Roman" w:cs="Times New Roman"/>
          <w:sz w:val="28"/>
          <w:szCs w:val="28"/>
          <w:lang w:eastAsia="ar-SA"/>
        </w:rPr>
      </w:pPr>
      <w:r w:rsidRPr="00BA68B5">
        <w:rPr>
          <w:rFonts w:ascii="Times New Roman" w:eastAsia="SimSun" w:hAnsi="Times New Roman" w:cs="Times New Roman"/>
          <w:sz w:val="28"/>
          <w:szCs w:val="28"/>
          <w:lang w:eastAsia="ar-SA"/>
        </w:rPr>
        <w:t>аттестации специалистов в области безопасности ГТС, находящихся в собственности муниципальных образований.</w:t>
      </w:r>
    </w:p>
    <w:p w:rsidR="00BB6689" w:rsidRPr="00BA68B5" w:rsidRDefault="00BB6689" w:rsidP="00BB6689">
      <w:pPr>
        <w:spacing w:line="360" w:lineRule="auto"/>
        <w:ind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На поднадзорном Средне-Поволжскому управлению Ростехнадзора предприятии энергетики, эксплуатирующем гидротехническое сооружение </w:t>
      </w:r>
      <w:r w:rsidRPr="00BA68B5">
        <w:rPr>
          <w:rFonts w:ascii="Times New Roman" w:eastAsia="Calibri" w:hAnsi="Times New Roman" w:cs="Times New Roman"/>
          <w:sz w:val="28"/>
          <w:szCs w:val="28"/>
          <w:lang w:val="en-US"/>
        </w:rPr>
        <w:t>I</w:t>
      </w:r>
      <w:r w:rsidRPr="00BA68B5">
        <w:rPr>
          <w:rFonts w:ascii="Times New Roman" w:eastAsia="Calibri" w:hAnsi="Times New Roman" w:cs="Times New Roman"/>
          <w:sz w:val="28"/>
          <w:szCs w:val="28"/>
        </w:rPr>
        <w:t xml:space="preserve"> класса, филиале ПАО «РусГидро»-«Жигулевская ГЭС» введен режим постоянного государственного надзора в соответствие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Проверки проводятся согласно плану проведения мероприятий по контролю, с периодичностью не реже одного раза в месяц. За 6 месяцев проведено 8 проверок. Выявлено 9 нарушений, 3 должностных лиц привлечены к административной ответственности в соответствии со ст. 9.11 и 9.2 КоАП Российской Федерации.</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В Ульяновской области осуществлялся постоянный государственный надзор в отношении гидротехнического сооружения I класса - Комплекс инженерной защиты ФГУ «Ульяновская дамба». В отношении опасного объекта ГТС КИЗ ФГУ «Ульяновская дамба» проведено 8 контрольных мероприятий. Выявлено 25 нарушений, к трем виновным должностным лицам приняты меры административного воздействия.</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На территории Саратовской области расположено два объекта энергетики I класса, в состав которых входят гидротехнические сооружения – комплекс ГТС филиала ПАО «РусГидро» - «Саратовская ГЭС» и комплекс ГТС филиала АО «Концерн Росэнергоатом» «Балаковская атомная станция», на которых установлен режим постоянного государственного надзора 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Проверки в рамках постоянного надзора проводятся в соответствии с графиком проведения мероприятий по контролю с периодичностью 1 раз в месяц в отношении филиала ПАО «РусГидро» - «Саратовская ГЭС» и 1 раз в квартал в отношении филиала АО «Концерн Росэнергоатом» «Балаковская АЭС». </w:t>
      </w:r>
    </w:p>
    <w:p w:rsidR="00BB6689" w:rsidRPr="00BA68B5" w:rsidRDefault="00BB6689" w:rsidP="00BB6689">
      <w:pPr>
        <w:spacing w:line="360" w:lineRule="auto"/>
        <w:ind w:right="56"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 6 месяцев в рамках постоянного надзора проведено 8 провер</w:t>
      </w:r>
      <w:r w:rsidR="00F56A04" w:rsidRPr="00BA68B5">
        <w:rPr>
          <w:rFonts w:ascii="Times New Roman" w:eastAsia="Calibri" w:hAnsi="Times New Roman" w:cs="Times New Roman"/>
          <w:sz w:val="28"/>
          <w:szCs w:val="28"/>
        </w:rPr>
        <w:t>о</w:t>
      </w:r>
      <w:r w:rsidRPr="00BA68B5">
        <w:rPr>
          <w:rFonts w:ascii="Times New Roman" w:eastAsia="Calibri" w:hAnsi="Times New Roman" w:cs="Times New Roman"/>
          <w:sz w:val="28"/>
          <w:szCs w:val="28"/>
        </w:rPr>
        <w:t xml:space="preserve">к. Выявлено 348 нарушений, 2 должностных лица привлечено к административной ответственности в соответствии со ст. 9.11 и 9.2 КоАП Российской Федерации. </w:t>
      </w:r>
    </w:p>
    <w:p w:rsidR="00BB6689" w:rsidRPr="00BA68B5" w:rsidRDefault="00BB6689" w:rsidP="00BB6689">
      <w:pPr>
        <w:spacing w:line="360" w:lineRule="auto"/>
        <w:ind w:right="56"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На территории Пензенской области в 2020 году осуществляется постоянный надзор на ГТС I класса – Комплекс гидротехнических сооружений Пензенского водохранилища на реке Суре Пензенской области, находящийся в собственности Российской Федерации и эксплуатируемый ФГУ «Сурский гидроузел». </w:t>
      </w:r>
      <w:r w:rsidRPr="00BA68B5">
        <w:rPr>
          <w:rFonts w:ascii="Times New Roman" w:eastAsia="Calibri" w:hAnsi="Times New Roman" w:cs="Times New Roman"/>
          <w:bCs/>
          <w:sz w:val="28"/>
          <w:szCs w:val="28"/>
        </w:rPr>
        <w:t xml:space="preserve">В 2020 году выявлено 5 нарушений законодательства, привлечено к административной ответственности 1 должностное лицо, наложен штраф 2 тыс. рублей. </w:t>
      </w:r>
      <w:r w:rsidRPr="00BA68B5">
        <w:rPr>
          <w:rFonts w:ascii="Times New Roman" w:eastAsia="Calibri" w:hAnsi="Times New Roman" w:cs="Times New Roman"/>
          <w:sz w:val="28"/>
          <w:szCs w:val="28"/>
        </w:rPr>
        <w:t>Проверки проводятся согласно плану проведения мероприятий по контролю,  с периодичностью не реже одного раза в месяц.</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 Перечне поднадзорных ГТС, расположенных на территориях Самарской, Саратовской и Ульяновской областей, числятся </w:t>
      </w:r>
      <w:r w:rsidRPr="00BA68B5">
        <w:rPr>
          <w:rFonts w:ascii="Times New Roman" w:eastAsia="Calibri" w:hAnsi="Times New Roman" w:cs="Times New Roman"/>
          <w:bCs/>
          <w:sz w:val="28"/>
          <w:szCs w:val="28"/>
        </w:rPr>
        <w:t>12 бесхозяйных сооружений</w:t>
      </w:r>
      <w:r w:rsidRPr="00BA68B5">
        <w:rPr>
          <w:rFonts w:ascii="Times New Roman" w:eastAsia="Calibri" w:hAnsi="Times New Roman" w:cs="Times New Roman"/>
          <w:sz w:val="28"/>
          <w:szCs w:val="28"/>
        </w:rPr>
        <w:t xml:space="preserve">. </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Средне-Поволжским управлением Ростехнадзора проводится работа по страхованию ГТС. 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Главам администраций муниципальных образований области, главам сельских поселений, собственникам, эксплуатирующим организациям направлены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u w:val="single"/>
        </w:rPr>
      </w:pPr>
      <w:r w:rsidRPr="00BA68B5">
        <w:rPr>
          <w:rFonts w:ascii="Times New Roman" w:eastAsia="Calibri" w:hAnsi="Times New Roman" w:cs="Times New Roman"/>
          <w:sz w:val="28"/>
          <w:szCs w:val="28"/>
          <w:u w:val="single"/>
        </w:rPr>
        <w:t>Для совершенствования нормативно-правового регулирования в установленной сфере деятельности необходимо:</w:t>
      </w:r>
    </w:p>
    <w:p w:rsidR="00BB6689" w:rsidRPr="00BA68B5" w:rsidRDefault="00BB6689" w:rsidP="00F56A04">
      <w:pPr>
        <w:numPr>
          <w:ilvl w:val="0"/>
          <w:numId w:val="14"/>
        </w:numPr>
        <w:shd w:val="clear" w:color="auto" w:fill="FFFFFF"/>
        <w:autoSpaceDE w:val="0"/>
        <w:autoSpaceDN w:val="0"/>
        <w:adjustRightInd w:val="0"/>
        <w:spacing w:line="360" w:lineRule="auto"/>
        <w:ind w:left="0" w:firstLine="709"/>
        <w:contextualSpacing/>
        <w:jc w:val="both"/>
        <w:rPr>
          <w:rFonts w:ascii="Times New Roman" w:eastAsia="Calibri" w:hAnsi="Times New Roman" w:cs="Times New Roman"/>
          <w:iCs/>
          <w:color w:val="000000"/>
          <w:sz w:val="28"/>
          <w:szCs w:val="28"/>
        </w:rPr>
      </w:pPr>
      <w:r w:rsidRPr="00BA68B5">
        <w:rPr>
          <w:rFonts w:ascii="Times New Roman" w:eastAsia="Calibri" w:hAnsi="Times New Roman" w:cs="Times New Roman"/>
          <w:iCs/>
          <w:color w:val="000000"/>
          <w:sz w:val="28"/>
          <w:szCs w:val="28"/>
        </w:rPr>
        <w:t>Внести дополнение в чек-листы, утвержденные приказом Ростехнадзора от 21.12.2017 № 556 «Об утверждении формы проверочного листа (списка контрольных вопросов), 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для использования их при проведении проверок гидротехнических сооружений водохозяйственного комплекса.</w:t>
      </w:r>
    </w:p>
    <w:p w:rsidR="00BB6689" w:rsidRPr="00BA68B5" w:rsidRDefault="00BB6689" w:rsidP="00F56A04">
      <w:pPr>
        <w:numPr>
          <w:ilvl w:val="0"/>
          <w:numId w:val="14"/>
        </w:numPr>
        <w:shd w:val="clear" w:color="auto" w:fill="FFFFFF"/>
        <w:autoSpaceDE w:val="0"/>
        <w:autoSpaceDN w:val="0"/>
        <w:adjustRightInd w:val="0"/>
        <w:spacing w:line="360" w:lineRule="auto"/>
        <w:ind w:left="0" w:firstLine="709"/>
        <w:contextualSpacing/>
        <w:jc w:val="both"/>
        <w:rPr>
          <w:rFonts w:ascii="Times New Roman" w:eastAsia="Calibri" w:hAnsi="Times New Roman" w:cs="Times New Roman"/>
          <w:iCs/>
          <w:color w:val="000000"/>
          <w:sz w:val="28"/>
          <w:szCs w:val="28"/>
        </w:rPr>
      </w:pPr>
      <w:r w:rsidRPr="00BA68B5">
        <w:rPr>
          <w:rFonts w:ascii="Times New Roman" w:eastAsia="Calibri" w:hAnsi="Times New Roman" w:cs="Times New Roman"/>
          <w:iCs/>
          <w:color w:val="000000"/>
          <w:sz w:val="28"/>
          <w:szCs w:val="28"/>
        </w:rPr>
        <w:t>Определить нормативным документом порядок установления сроков устранения выявленных нарушений.</w:t>
      </w:r>
    </w:p>
    <w:p w:rsidR="00BB6689" w:rsidRPr="00BA68B5" w:rsidRDefault="00BB6689" w:rsidP="00BB6689">
      <w:pPr>
        <w:spacing w:after="0" w:line="360" w:lineRule="auto"/>
        <w:ind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3. Предусмотреть административную ответственность физических лиц в КоАП РФ в ч. 11 ст. 19.5 (в настоящее время имеют место случаи приобретения ГТС водохозяйственного комплекса в собственность физическими лицами).</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u w:val="single"/>
        </w:rPr>
      </w:pPr>
      <w:r w:rsidRPr="00BA68B5">
        <w:rPr>
          <w:rFonts w:ascii="Times New Roman" w:eastAsia="Calibri" w:hAnsi="Times New Roman" w:cs="Times New Roman"/>
          <w:sz w:val="28"/>
          <w:szCs w:val="28"/>
          <w:u w:val="single"/>
        </w:rPr>
        <w:t xml:space="preserve">Средне-Поволжское управление Ростехнадзора разъясняет о необходимости соблюдения обязательных требований нормативно правовых актов: </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1. Документ расчет размера вреда должен разрабатываться по новой методике согласно Приказу Ростехнадзора от 29.03.2016 №120 «Об утверждении Методики определения размера вреда, который может быть причинён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2. Собственник гидротехнического сооружения и (или) эксплуатирующая организация обязаны:</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составлять и представлять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 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6689" w:rsidRPr="00BA68B5" w:rsidRDefault="00BB6689" w:rsidP="00BB6689">
      <w:pPr>
        <w:spacing w:after="0" w:line="360" w:lineRule="auto"/>
        <w:ind w:left="-57" w:firstLine="766"/>
        <w:jc w:val="both"/>
        <w:rPr>
          <w:rFonts w:ascii="Times New Roman" w:eastAsia="Calibri" w:hAnsi="Times New Roman" w:cs="Times New Roman"/>
          <w:sz w:val="28"/>
          <w:szCs w:val="28"/>
        </w:rPr>
      </w:pPr>
      <w:r w:rsidRPr="00BA68B5">
        <w:rPr>
          <w:rFonts w:ascii="Times New Roman" w:eastAsia="Calibri" w:hAnsi="Times New Roman" w:cs="Times New Roman"/>
          <w:sz w:val="28"/>
          <w:szCs w:val="28"/>
        </w:rP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
    <w:p w:rsidR="00963FF6" w:rsidRPr="00BA68B5" w:rsidRDefault="00963FF6" w:rsidP="00DF3541">
      <w:pPr>
        <w:spacing w:after="0" w:line="360" w:lineRule="auto"/>
        <w:ind w:firstLine="708"/>
        <w:jc w:val="both"/>
        <w:rPr>
          <w:rFonts w:ascii="Times New Roman" w:hAnsi="Times New Roman" w:cs="Times New Roman"/>
          <w:sz w:val="28"/>
          <w:szCs w:val="28"/>
        </w:rPr>
      </w:pPr>
    </w:p>
    <w:p w:rsidR="004F7CB4" w:rsidRPr="00BA68B5" w:rsidRDefault="004F7CB4" w:rsidP="004D4302">
      <w:pPr>
        <w:tabs>
          <w:tab w:val="left" w:pos="709"/>
        </w:tabs>
        <w:spacing w:after="0" w:line="240" w:lineRule="auto"/>
        <w:ind w:firstLine="709"/>
        <w:jc w:val="center"/>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III.</w:t>
      </w:r>
      <w:r w:rsidRPr="00BA68B5">
        <w:rPr>
          <w:rFonts w:ascii="Times New Roman" w:eastAsia="Times New Roman" w:hAnsi="Times New Roman" w:cs="Times New Roman"/>
          <w:b/>
          <w:sz w:val="28"/>
          <w:szCs w:val="28"/>
          <w:lang w:eastAsia="ru-RU"/>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F1A55" w:rsidRPr="00BA68B5" w:rsidRDefault="00BF1A55" w:rsidP="004D4302">
      <w:pPr>
        <w:tabs>
          <w:tab w:val="left" w:pos="709"/>
        </w:tabs>
        <w:spacing w:after="0" w:line="240" w:lineRule="auto"/>
        <w:ind w:firstLine="709"/>
        <w:jc w:val="center"/>
        <w:rPr>
          <w:rFonts w:ascii="Times New Roman" w:eastAsia="Times New Roman" w:hAnsi="Times New Roman" w:cs="Times New Roman"/>
          <w:b/>
          <w:sz w:val="28"/>
          <w:szCs w:val="28"/>
          <w:lang w:eastAsia="ru-RU"/>
        </w:rPr>
      </w:pP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Количество поднадзорных </w:t>
      </w:r>
      <w:r w:rsidR="00BA68B5" w:rsidRPr="00BA68B5">
        <w:rPr>
          <w:rFonts w:ascii="Times New Roman" w:eastAsia="Times New Roman" w:hAnsi="Times New Roman" w:cs="Times New Roman"/>
          <w:sz w:val="28"/>
          <w:szCs w:val="28"/>
          <w:lang w:eastAsia="ru-RU"/>
        </w:rPr>
        <w:t>Средне-Поволжскому у</w:t>
      </w:r>
      <w:r w:rsidRPr="00BA68B5">
        <w:rPr>
          <w:rFonts w:ascii="Times New Roman" w:eastAsia="Times New Roman" w:hAnsi="Times New Roman" w:cs="Times New Roman"/>
          <w:sz w:val="28"/>
          <w:szCs w:val="28"/>
          <w:lang w:eastAsia="ru-RU"/>
        </w:rPr>
        <w:t>правлению</w:t>
      </w:r>
      <w:r w:rsidR="00BA68B5" w:rsidRPr="00BA68B5">
        <w:rPr>
          <w:rFonts w:ascii="Times New Roman" w:eastAsia="Times New Roman" w:hAnsi="Times New Roman" w:cs="Times New Roman"/>
          <w:sz w:val="28"/>
          <w:szCs w:val="28"/>
          <w:lang w:eastAsia="ru-RU"/>
        </w:rPr>
        <w:t xml:space="preserve"> Ростехнадзора </w:t>
      </w:r>
      <w:r w:rsidRPr="00BA68B5">
        <w:rPr>
          <w:rFonts w:ascii="Times New Roman" w:eastAsia="Times New Roman" w:hAnsi="Times New Roman" w:cs="Times New Roman"/>
          <w:sz w:val="28"/>
          <w:szCs w:val="28"/>
          <w:lang w:eastAsia="ru-RU"/>
        </w:rPr>
        <w:t xml:space="preserve">объектов капитального строительства, включая объекты, по которым выданы заключения о соответствии, за 6 месяцев 2020 года составило 355 объектов капитального строительства, из них 279 объектов строительства, 76 объектов реконструкции.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Поднадзорные объекты капитального строительства распределены по категориям в соответствии с пунктом 5.1 статьи 6 и статьей 48.1 Градостроительного кодекса Российской Федерации (табл. 1).</w:t>
      </w:r>
    </w:p>
    <w:p w:rsidR="00A279A2" w:rsidRPr="00BA68B5" w:rsidRDefault="00A279A2" w:rsidP="00A279A2">
      <w:pPr>
        <w:spacing w:after="0" w:line="360" w:lineRule="auto"/>
        <w:ind w:firstLine="851"/>
        <w:jc w:val="right"/>
        <w:rPr>
          <w:rFonts w:ascii="Times New Roman" w:eastAsia="Times New Roman" w:hAnsi="Times New Roman" w:cs="Times New Roman"/>
          <w:b/>
          <w:sz w:val="20"/>
          <w:szCs w:val="20"/>
          <w:lang w:eastAsia="ru-RU"/>
        </w:rPr>
      </w:pPr>
      <w:r w:rsidRPr="00BA68B5">
        <w:rPr>
          <w:rFonts w:ascii="Times New Roman" w:eastAsia="Times New Roman" w:hAnsi="Times New Roman" w:cs="Times New Roman"/>
          <w:b/>
          <w:sz w:val="20"/>
          <w:szCs w:val="20"/>
          <w:lang w:eastAsia="ru-RU"/>
        </w:rPr>
        <w:t>Таблица 1</w:t>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u w:val="single"/>
          <w:lang w:eastAsia="ru-RU"/>
        </w:rPr>
      </w:pPr>
      <w:r w:rsidRPr="00BA68B5">
        <w:rPr>
          <w:rFonts w:ascii="Times New Roman" w:eastAsia="Times New Roman" w:hAnsi="Times New Roman" w:cs="Times New Roman"/>
          <w:sz w:val="28"/>
          <w:szCs w:val="28"/>
          <w:u w:val="single"/>
          <w:lang w:eastAsia="ru-RU"/>
        </w:rPr>
        <w:t>Распределение поднадзорных объектов капитального строительства по видам:</w:t>
      </w:r>
    </w:p>
    <w:p w:rsidR="00A279A2" w:rsidRPr="00BA68B5" w:rsidRDefault="00A279A2" w:rsidP="00A279A2">
      <w:pPr>
        <w:spacing w:after="0" w:line="240" w:lineRule="auto"/>
        <w:ind w:firstLine="851"/>
        <w:jc w:val="center"/>
        <w:rPr>
          <w:rFonts w:ascii="Times New Roman" w:eastAsia="Times New Roman" w:hAnsi="Times New Roman" w:cs="Times New Roman"/>
          <w:b/>
          <w:sz w:val="28"/>
          <w:szCs w:val="28"/>
          <w:lang w:eastAsia="ru-RU"/>
        </w:rPr>
      </w:pPr>
    </w:p>
    <w:tbl>
      <w:tblPr>
        <w:tblW w:w="9938" w:type="dxa"/>
        <w:jc w:val="center"/>
        <w:tblInd w:w="93" w:type="dxa"/>
        <w:tblLayout w:type="fixed"/>
        <w:tblLook w:val="04A0" w:firstRow="1" w:lastRow="0" w:firstColumn="1" w:lastColumn="0" w:noHBand="0" w:noVBand="1"/>
      </w:tblPr>
      <w:tblGrid>
        <w:gridCol w:w="6252"/>
        <w:gridCol w:w="1843"/>
        <w:gridCol w:w="1843"/>
      </w:tblGrid>
      <w:tr w:rsidR="00A279A2" w:rsidRPr="00BA68B5" w:rsidTr="00F55A57">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Вид поднадзорного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Количество поднадзорных объектов</w:t>
            </w:r>
          </w:p>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6 мес. 2019</w:t>
            </w:r>
          </w:p>
        </w:tc>
        <w:tc>
          <w:tcPr>
            <w:tcW w:w="1843" w:type="dxa"/>
            <w:tcBorders>
              <w:top w:val="single" w:sz="4" w:space="0" w:color="auto"/>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 xml:space="preserve">Количество поднадзорных объектов </w:t>
            </w:r>
          </w:p>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6 мес. 2020</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Автомобильные дороги федерального значения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10</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14</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Гидротехнические сооружения I,II класса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2</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Линии электропередачи и иные объекты электросетевого хозяйства напряжением 330 КВ и более</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Объекты космической инфраструктуры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Объекты авиационной инфраструктуры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5</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Объекты инфраструктуры железнодорожного транспорта общего пользования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r>
      <w:tr w:rsidR="00A279A2" w:rsidRPr="00BA68B5" w:rsidTr="00F55A57">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Метрополитены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w:t>
            </w:r>
          </w:p>
        </w:tc>
      </w:tr>
      <w:tr w:rsidR="00A279A2" w:rsidRPr="00BA68B5" w:rsidTr="00F55A57">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Опасные производственные объекты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234</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297</w:t>
            </w:r>
          </w:p>
        </w:tc>
      </w:tr>
      <w:tr w:rsidR="00A279A2" w:rsidRPr="00BA68B5" w:rsidTr="00F55A57">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A279A2" w:rsidRPr="00BA68B5" w:rsidRDefault="00A279A2" w:rsidP="00A279A2">
            <w:pPr>
              <w:spacing w:after="0" w:line="240" w:lineRule="auto"/>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Уникальные объекты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6</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5</w:t>
            </w:r>
          </w:p>
        </w:tc>
      </w:tr>
      <w:tr w:rsidR="00A279A2" w:rsidRPr="00BA68B5" w:rsidTr="00F55A57">
        <w:trPr>
          <w:trHeight w:val="389"/>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A279A2" w:rsidRPr="00BA68B5" w:rsidRDefault="00A279A2" w:rsidP="00A279A2">
            <w:pPr>
              <w:spacing w:after="0" w:line="259" w:lineRule="auto"/>
              <w:rPr>
                <w:rFonts w:ascii="Times New Roman" w:hAnsi="Times New Roman" w:cs="Times New Roman"/>
                <w:color w:val="000000"/>
                <w:sz w:val="24"/>
                <w:szCs w:val="24"/>
              </w:rPr>
            </w:pPr>
            <w:r w:rsidRPr="00BA68B5">
              <w:rPr>
                <w:rFonts w:ascii="Times New Roman" w:hAnsi="Times New Roman" w:cs="Times New Roman"/>
                <w:color w:val="000000"/>
                <w:sz w:val="24"/>
                <w:szCs w:val="24"/>
              </w:rPr>
              <w:t>Объекты обороны и безопасности</w:t>
            </w:r>
          </w:p>
        </w:tc>
        <w:tc>
          <w:tcPr>
            <w:tcW w:w="1843" w:type="dxa"/>
            <w:tcBorders>
              <w:top w:val="nil"/>
              <w:left w:val="single" w:sz="4" w:space="0" w:color="auto"/>
              <w:bottom w:val="single" w:sz="4" w:space="0" w:color="auto"/>
              <w:right w:val="single" w:sz="4" w:space="0" w:color="auto"/>
            </w:tcBorders>
            <w:shd w:val="clear" w:color="auto" w:fill="auto"/>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10</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12</w:t>
            </w:r>
          </w:p>
        </w:tc>
      </w:tr>
      <w:tr w:rsidR="00A279A2" w:rsidRPr="00BA68B5" w:rsidTr="00F55A57">
        <w:trPr>
          <w:trHeight w:val="643"/>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A279A2" w:rsidRPr="00BA68B5" w:rsidRDefault="00A279A2" w:rsidP="00A279A2">
            <w:pPr>
              <w:spacing w:after="160" w:line="259" w:lineRule="auto"/>
              <w:rPr>
                <w:rFonts w:ascii="Times New Roman" w:hAnsi="Times New Roman" w:cs="Times New Roman"/>
                <w:color w:val="000000"/>
                <w:sz w:val="24"/>
                <w:szCs w:val="24"/>
              </w:rPr>
            </w:pPr>
            <w:r w:rsidRPr="00BA68B5">
              <w:rPr>
                <w:rFonts w:ascii="Times New Roman" w:hAnsi="Times New Roman" w:cs="Times New Roman"/>
                <w:color w:val="000000"/>
                <w:sz w:val="24"/>
                <w:szCs w:val="24"/>
              </w:rPr>
              <w:t>Объекты, связанные с размещением и обезвреживанием отходов I - V классов опасности</w:t>
            </w:r>
          </w:p>
        </w:tc>
        <w:tc>
          <w:tcPr>
            <w:tcW w:w="1843" w:type="dxa"/>
            <w:tcBorders>
              <w:top w:val="nil"/>
              <w:left w:val="single" w:sz="4" w:space="0" w:color="auto"/>
              <w:bottom w:val="single" w:sz="4" w:space="0" w:color="auto"/>
              <w:right w:val="single" w:sz="4" w:space="0" w:color="auto"/>
            </w:tcBorders>
            <w:shd w:val="clear" w:color="auto" w:fill="auto"/>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w:t>
            </w:r>
          </w:p>
        </w:tc>
      </w:tr>
      <w:tr w:rsidR="00A279A2" w:rsidRPr="00BA68B5" w:rsidTr="00F55A57">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A279A2" w:rsidRPr="00BA68B5" w:rsidRDefault="00A279A2" w:rsidP="00A279A2">
            <w:pPr>
              <w:spacing w:after="0" w:line="259" w:lineRule="auto"/>
              <w:rPr>
                <w:rFonts w:ascii="Times New Roman" w:hAnsi="Times New Roman" w:cs="Times New Roman"/>
                <w:color w:val="000000"/>
                <w:sz w:val="24"/>
                <w:szCs w:val="24"/>
              </w:rPr>
            </w:pPr>
            <w:r w:rsidRPr="00BA68B5">
              <w:rPr>
                <w:rFonts w:ascii="Times New Roman" w:hAnsi="Times New Roman" w:cs="Times New Roman"/>
                <w:color w:val="000000"/>
                <w:sz w:val="24"/>
                <w:szCs w:val="24"/>
              </w:rPr>
              <w:t>Иные объекты, определенные Правительством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7</w:t>
            </w:r>
          </w:p>
        </w:tc>
        <w:tc>
          <w:tcPr>
            <w:tcW w:w="1843" w:type="dxa"/>
            <w:tcBorders>
              <w:top w:val="nil"/>
              <w:left w:val="single" w:sz="4" w:space="0" w:color="auto"/>
              <w:bottom w:val="single" w:sz="4"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12</w:t>
            </w:r>
          </w:p>
        </w:tc>
      </w:tr>
      <w:tr w:rsidR="00A279A2" w:rsidRPr="00BA68B5" w:rsidTr="00F55A57">
        <w:trPr>
          <w:trHeight w:val="420"/>
          <w:jc w:val="center"/>
        </w:trPr>
        <w:tc>
          <w:tcPr>
            <w:tcW w:w="6252" w:type="dxa"/>
            <w:tcBorders>
              <w:top w:val="nil"/>
              <w:left w:val="single" w:sz="4" w:space="0" w:color="auto"/>
              <w:bottom w:val="single" w:sz="8" w:space="0" w:color="auto"/>
              <w:right w:val="single" w:sz="4" w:space="0" w:color="auto"/>
            </w:tcBorders>
            <w:shd w:val="clear" w:color="auto" w:fill="auto"/>
            <w:noWrap/>
            <w:vAlign w:val="center"/>
            <w:hideMark/>
          </w:tcPr>
          <w:p w:rsidR="00A279A2" w:rsidRPr="00BA68B5" w:rsidRDefault="00A279A2" w:rsidP="00A279A2">
            <w:pPr>
              <w:spacing w:after="0" w:line="240" w:lineRule="auto"/>
              <w:rPr>
                <w:rFonts w:ascii="Times New Roman" w:eastAsia="Times New Roman" w:hAnsi="Times New Roman" w:cs="Times New Roman"/>
                <w:bCs/>
                <w:sz w:val="24"/>
                <w:szCs w:val="24"/>
                <w:lang w:eastAsia="ru-RU"/>
              </w:rPr>
            </w:pPr>
            <w:r w:rsidRPr="00BA68B5">
              <w:rPr>
                <w:rFonts w:ascii="Times New Roman" w:eastAsia="Times New Roman" w:hAnsi="Times New Roman" w:cs="Times New Roman"/>
                <w:bCs/>
                <w:sz w:val="24"/>
                <w:szCs w:val="24"/>
                <w:lang w:eastAsia="ru-RU"/>
              </w:rPr>
              <w:t>Итого:</w:t>
            </w:r>
          </w:p>
        </w:tc>
        <w:tc>
          <w:tcPr>
            <w:tcW w:w="1843" w:type="dxa"/>
            <w:tcBorders>
              <w:top w:val="nil"/>
              <w:left w:val="nil"/>
              <w:bottom w:val="single" w:sz="8" w:space="0" w:color="auto"/>
              <w:right w:val="single" w:sz="4" w:space="0" w:color="auto"/>
            </w:tcBorders>
            <w:shd w:val="clear" w:color="auto" w:fill="auto"/>
            <w:noWrap/>
            <w:vAlign w:val="center"/>
            <w:hideMark/>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283</w:t>
            </w:r>
          </w:p>
        </w:tc>
        <w:tc>
          <w:tcPr>
            <w:tcW w:w="1843" w:type="dxa"/>
            <w:tcBorders>
              <w:top w:val="nil"/>
              <w:left w:val="nil"/>
              <w:bottom w:val="single" w:sz="8" w:space="0" w:color="auto"/>
              <w:right w:val="single" w:sz="4" w:space="0" w:color="auto"/>
            </w:tcBorders>
            <w:vAlign w:val="center"/>
          </w:tcPr>
          <w:p w:rsidR="00A279A2" w:rsidRPr="00BA68B5" w:rsidRDefault="00A279A2" w:rsidP="00A279A2">
            <w:pPr>
              <w:spacing w:after="0" w:line="240" w:lineRule="auto"/>
              <w:jc w:val="center"/>
              <w:rPr>
                <w:rFonts w:ascii="Times New Roman" w:eastAsia="Times New Roman" w:hAnsi="Times New Roman" w:cs="Times New Roman"/>
                <w:sz w:val="24"/>
                <w:szCs w:val="24"/>
                <w:lang w:eastAsia="ru-RU"/>
              </w:rPr>
            </w:pPr>
            <w:r w:rsidRPr="00BA68B5">
              <w:rPr>
                <w:rFonts w:ascii="Times New Roman" w:eastAsia="Times New Roman" w:hAnsi="Times New Roman" w:cs="Times New Roman"/>
                <w:sz w:val="24"/>
                <w:szCs w:val="24"/>
                <w:lang w:eastAsia="ru-RU"/>
              </w:rPr>
              <w:t>355</w:t>
            </w:r>
          </w:p>
        </w:tc>
      </w:tr>
    </w:tbl>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Наибольшее количество поднадзорных объектов капитального строительства составляют опасные производственные объекты, в числе которых преобладают объекты обустройства месторождений.</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За 6 месяцев 2020 года при осуществлении государственного строительного надзора проведено 247 проверок деятельности юридических лиц, из них 111 проверок проведены по программе проверок, 136 проверок по иным основаниям, а именно: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50 проверок по получению извещения об окончании строительства,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78 проверок по истечению сроков исполнения ранее выданных предписаний об устранении выявленных нарушений обязательных требований,</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7 проверка по получению извещения о начале строительства, о сроках завершения работ подлежащих проверке, извещения об устранении нарушений,</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1 проверка по приказу (распоряжения) руководителя (заместителя руководителя) органа государственного строительного надзора в соответствии с подпунктом «б» пункта</w:t>
      </w:r>
      <w:r w:rsidR="00CD381F" w:rsidRPr="00BA68B5">
        <w:rPr>
          <w:rFonts w:ascii="Times New Roman" w:eastAsia="Times New Roman" w:hAnsi="Times New Roman" w:cs="Times New Roman"/>
          <w:sz w:val="28"/>
          <w:szCs w:val="28"/>
          <w:lang w:eastAsia="ru-RU"/>
        </w:rPr>
        <w:t xml:space="preserve"> 2 части 5 статьи 54 ГрК России.</w:t>
      </w:r>
    </w:p>
    <w:p w:rsidR="00A279A2" w:rsidRPr="00BA68B5" w:rsidRDefault="00A279A2" w:rsidP="00DD450E">
      <w:pPr>
        <w:spacing w:after="0" w:line="240" w:lineRule="auto"/>
        <w:ind w:firstLine="426"/>
        <w:jc w:val="center"/>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3D583F7F" wp14:editId="7D88BE74">
            <wp:extent cx="6068291" cy="2552008"/>
            <wp:effectExtent l="0" t="0" r="0" b="0"/>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Общее количество проведенных проверок увеличилось.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ходе проверок было выявлено 1035 нарушений, что ниже показателей 6 месяцев 2019 года на 422 единицы. </w:t>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01FF67BF" wp14:editId="3E3BCAC0">
            <wp:extent cx="5343525" cy="2257425"/>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Основными видами нарушений, выявленных в рамках федерального государственного строительного надзора, явились:</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отклонения от проектной документации, получившей положительное заключение государственной экспертизы;</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нарушение сроков направления извещения о начале строительства;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нарушения при ведении исполнительной документации (журналы работ, акты на скрытые работы и т.д.);</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отсутствие или неудовлетворительное осуществление строительного контроля на объекте, нарушения организационного порядка строительства.</w:t>
      </w:r>
    </w:p>
    <w:p w:rsidR="00A279A2" w:rsidRPr="00BA68B5" w:rsidRDefault="00BA68B5"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Средне-Поволжским у</w:t>
      </w:r>
      <w:r w:rsidR="00A279A2" w:rsidRPr="00BA68B5">
        <w:rPr>
          <w:rFonts w:ascii="Times New Roman" w:eastAsia="Times New Roman" w:hAnsi="Times New Roman" w:cs="Times New Roman"/>
          <w:sz w:val="28"/>
          <w:szCs w:val="28"/>
          <w:lang w:eastAsia="ru-RU"/>
        </w:rPr>
        <w:t>правлением</w:t>
      </w:r>
      <w:r w:rsidRPr="00BA68B5">
        <w:rPr>
          <w:rFonts w:ascii="Times New Roman" w:eastAsia="Times New Roman" w:hAnsi="Times New Roman" w:cs="Times New Roman"/>
          <w:sz w:val="28"/>
          <w:szCs w:val="28"/>
          <w:lang w:eastAsia="ru-RU"/>
        </w:rPr>
        <w:t xml:space="preserve"> Ростехнадзора</w:t>
      </w:r>
      <w:r w:rsidR="00A279A2" w:rsidRPr="00BA68B5">
        <w:rPr>
          <w:rFonts w:ascii="Times New Roman" w:eastAsia="Times New Roman" w:hAnsi="Times New Roman" w:cs="Times New Roman"/>
          <w:sz w:val="28"/>
          <w:szCs w:val="28"/>
          <w:lang w:eastAsia="ru-RU"/>
        </w:rPr>
        <w:t xml:space="preserve"> за 6 месяцев 2020 года в рамках осуществления государственного строительного надзора выявлено 16 нарушений в области экологии, 4 нарушения в области санитарно-эпидемиологического благополучия, 28 нарушений требований пожарной безопасности.</w:t>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16DE02B8" wp14:editId="5E1B0497">
            <wp:extent cx="5343525" cy="22479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 результатам проведения проверок выдано 74 предписания об устранении нарушений.</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результате проведенных проверок было назначено 74 административных наказания, в том числе: 58 административных наказаний (3 административных наказания на должностное лицо, 55 административных наказания на юридическое лицо) в виде штрафа на общую сумму 6 617 000 рублей, вынесено 16 предупреждений.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Общая сумма взысканных штрафов составила 6780000 рублей. </w:t>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4D8BF417" wp14:editId="0D1FEB07">
            <wp:extent cx="5581650" cy="235267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За 6 месяцев 2020 года выдано 39 заключений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1C8828C3" wp14:editId="2E9083AD">
            <wp:extent cx="5495290" cy="1828800"/>
            <wp:effectExtent l="0" t="0" r="0" b="0"/>
            <wp:docPr id="17"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lang w:eastAsia="ru-RU"/>
        </w:rPr>
      </w:pPr>
    </w:p>
    <w:p w:rsidR="00A279A2" w:rsidRPr="00BA68B5" w:rsidRDefault="00A279A2" w:rsidP="00A279A2">
      <w:pPr>
        <w:spacing w:after="0" w:line="240" w:lineRule="auto"/>
        <w:jc w:val="center"/>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Надзор за деятельностью саморегулируемых организаций</w:t>
      </w:r>
    </w:p>
    <w:p w:rsidR="00A279A2" w:rsidRPr="00BA68B5" w:rsidRDefault="00A279A2" w:rsidP="00A279A2">
      <w:pPr>
        <w:spacing w:after="0" w:line="240" w:lineRule="auto"/>
        <w:jc w:val="center"/>
        <w:rPr>
          <w:rFonts w:ascii="Times New Roman" w:eastAsia="Times New Roman" w:hAnsi="Times New Roman" w:cs="Times New Roman"/>
          <w:b/>
          <w:sz w:val="28"/>
          <w:szCs w:val="28"/>
          <w:lang w:eastAsia="ru-RU"/>
        </w:rPr>
      </w:pPr>
      <w:r w:rsidRPr="00BA68B5">
        <w:rPr>
          <w:rFonts w:ascii="Times New Roman" w:eastAsia="Times New Roman" w:hAnsi="Times New Roman" w:cs="Times New Roman"/>
          <w:b/>
          <w:sz w:val="28"/>
          <w:szCs w:val="28"/>
          <w:lang w:eastAsia="ru-RU"/>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279A2" w:rsidRPr="00BA68B5" w:rsidRDefault="00A279A2" w:rsidP="00A279A2">
      <w:pPr>
        <w:spacing w:after="0" w:line="240" w:lineRule="auto"/>
        <w:jc w:val="center"/>
        <w:rPr>
          <w:rFonts w:ascii="Times New Roman" w:eastAsia="Times New Roman" w:hAnsi="Times New Roman" w:cs="Times New Roman"/>
          <w:b/>
          <w:sz w:val="28"/>
          <w:szCs w:val="28"/>
          <w:lang w:eastAsia="ru-RU"/>
        </w:rPr>
      </w:pP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Средне-Поволжское управление Ростехнадзора осуществляет надзор за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За 6 месяцев 2020 года проведено 2 проверки (1 внеплановая по распоряжению Центрального аппарата Ростехнадзора, 1 проверка в соответствии с планом проведения плановых проверок саморегулируемых организаций), выявлено 17 нарушений.</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В результате проведенных проверок было назначено 3 административных наказания, в том числе: 2 административных наказания на юридическое лицо в виде штрафа на общую сумму 40 000 рублей, вынесено 1 предупреждение. </w:t>
      </w:r>
    </w:p>
    <w:p w:rsidR="00A279A2" w:rsidRPr="00BA68B5" w:rsidRDefault="00A279A2" w:rsidP="00A279A2">
      <w:pPr>
        <w:spacing w:after="0" w:line="360" w:lineRule="auto"/>
        <w:ind w:firstLine="709"/>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Общая сумма взысканных штрафов составила 40 000  рублей. </w:t>
      </w:r>
    </w:p>
    <w:p w:rsidR="00A279A2" w:rsidRPr="00BA68B5" w:rsidRDefault="00A279A2" w:rsidP="00A279A2">
      <w:pPr>
        <w:spacing w:after="0" w:line="24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noProof/>
          <w:sz w:val="28"/>
          <w:szCs w:val="28"/>
          <w:lang w:eastAsia="ru-RU"/>
        </w:rPr>
        <w:drawing>
          <wp:inline distT="0" distB="0" distL="0" distR="0" wp14:anchorId="79185E95" wp14:editId="36F1790F">
            <wp:extent cx="5407025" cy="1828800"/>
            <wp:effectExtent l="0" t="0" r="0" b="0"/>
            <wp:docPr id="18"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Саморегулируемыми организациями чаще всего допускаются нарушения основных требований законодательства Российской Федерации о градостроительной деятельности и о саморегулируемых организациях, такие как:</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несоблюдение требований законодательства Российской Федерации при разработке внутренних документов;</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несоблюдение требований по формированию компенсационного фонда саморегулируемой организации в установленном размере и размещению в кредитных организациях в установленном порядке;</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несоблюдение порядка приема в члены саморегулируемой организации;</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нарушение установленных требований по ведению дел членов саморегулируемой организации;</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нарушение требований информационной открытости.</w:t>
      </w:r>
    </w:p>
    <w:p w:rsidR="00A279A2" w:rsidRPr="00BA68B5" w:rsidRDefault="00A279A2" w:rsidP="00A279A2">
      <w:pPr>
        <w:spacing w:after="0" w:line="360" w:lineRule="auto"/>
        <w:ind w:firstLine="851"/>
        <w:jc w:val="both"/>
        <w:rPr>
          <w:rFonts w:ascii="Times New Roman" w:eastAsia="Times New Roman" w:hAnsi="Times New Roman" w:cs="Times New Roman"/>
          <w:b/>
          <w:sz w:val="28"/>
          <w:szCs w:val="28"/>
          <w:lang w:eastAsia="ru-RU"/>
        </w:rPr>
      </w:pP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u w:val="single"/>
          <w:lang w:eastAsia="ru-RU"/>
        </w:rPr>
      </w:pPr>
      <w:r w:rsidRPr="00BA68B5">
        <w:rPr>
          <w:rFonts w:ascii="Times New Roman" w:eastAsia="Times New Roman" w:hAnsi="Times New Roman" w:cs="Times New Roman"/>
          <w:sz w:val="28"/>
          <w:szCs w:val="28"/>
          <w:u w:val="single"/>
          <w:lang w:eastAsia="ru-RU"/>
        </w:rPr>
        <w:t>Нормативные правовые акты, принятые в 2019-2020 годах</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Федеральный закон от 27.06.2019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 xml:space="preserve">Постановление Правительства РФ от 03.04.2020 N 438 (ред. от 22.04.2020)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Пост</w:t>
      </w:r>
      <w:r w:rsidR="00DD450E" w:rsidRPr="00BA68B5">
        <w:rPr>
          <w:rFonts w:ascii="Times New Roman" w:eastAsia="Times New Roman" w:hAnsi="Times New Roman" w:cs="Times New Roman"/>
          <w:sz w:val="28"/>
          <w:szCs w:val="28"/>
          <w:lang w:eastAsia="ru-RU"/>
        </w:rPr>
        <w:t>ановление Правительства РФ от</w:t>
      </w:r>
      <w:r w:rsidRPr="00BA68B5">
        <w:rPr>
          <w:rFonts w:ascii="Times New Roman" w:eastAsia="Times New Roman" w:hAnsi="Times New Roman" w:cs="Times New Roman"/>
          <w:sz w:val="28"/>
          <w:szCs w:val="28"/>
          <w:lang w:eastAsia="ru-RU"/>
        </w:rPr>
        <w:t xml:space="preserve"> 22 апреля 2020 г. </w:t>
      </w:r>
      <w:r w:rsidR="00DD450E" w:rsidRPr="00BA68B5">
        <w:rPr>
          <w:rFonts w:ascii="Times New Roman" w:eastAsia="Times New Roman" w:hAnsi="Times New Roman" w:cs="Times New Roman"/>
          <w:sz w:val="28"/>
          <w:szCs w:val="28"/>
          <w:lang w:eastAsia="ru-RU"/>
        </w:rPr>
        <w:t>№</w:t>
      </w:r>
      <w:r w:rsidRPr="00BA68B5">
        <w:rPr>
          <w:rFonts w:ascii="Times New Roman" w:eastAsia="Times New Roman" w:hAnsi="Times New Roman" w:cs="Times New Roman"/>
          <w:sz w:val="28"/>
          <w:szCs w:val="28"/>
          <w:lang w:eastAsia="ru-RU"/>
        </w:rPr>
        <w:t>557 «О внесении изменений в некоторые акты правительства Российской Федерации в части установления особенностей осуществления контрольно-надзорной и разрешительной деятельности в 2020 году».</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Постановление Правительства РФ от 13.06.2020 N 862 «О внесении изменений в некоторые акты Правительства Российской Федерации в части установления особенностей осуществления государственного контроля (надзора), муниципального контроля в 2020 году».</w:t>
      </w:r>
    </w:p>
    <w:p w:rsidR="00A279A2" w:rsidRPr="00BA68B5"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Приказ Ростехнадзора от 12.03.2020 N 107 «Об утверждении форм документов, необходимых для осуществления государственного строительного надзора».</w:t>
      </w:r>
    </w:p>
    <w:p w:rsidR="00A279A2" w:rsidRPr="00A279A2" w:rsidRDefault="00A279A2" w:rsidP="00A279A2">
      <w:pPr>
        <w:spacing w:after="0" w:line="360" w:lineRule="auto"/>
        <w:ind w:firstLine="851"/>
        <w:jc w:val="both"/>
        <w:rPr>
          <w:rFonts w:ascii="Times New Roman" w:eastAsia="Times New Roman" w:hAnsi="Times New Roman" w:cs="Times New Roman"/>
          <w:sz w:val="28"/>
          <w:szCs w:val="28"/>
          <w:lang w:eastAsia="ru-RU"/>
        </w:rPr>
      </w:pPr>
      <w:r w:rsidRPr="00BA68B5">
        <w:rPr>
          <w:rFonts w:ascii="Times New Roman" w:eastAsia="Times New Roman" w:hAnsi="Times New Roman" w:cs="Times New Roman"/>
          <w:sz w:val="28"/>
          <w:szCs w:val="28"/>
          <w:lang w:eastAsia="ru-RU"/>
        </w:rPr>
        <w:t>Постановление Правительства РФ от 04.07.2020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279A2" w:rsidRDefault="00A279A2" w:rsidP="009B0CEA">
      <w:pPr>
        <w:spacing w:after="0" w:line="360" w:lineRule="auto"/>
        <w:ind w:firstLine="709"/>
        <w:jc w:val="both"/>
        <w:rPr>
          <w:rFonts w:ascii="Times New Roman" w:eastAsia="Times New Roman" w:hAnsi="Times New Roman" w:cs="Times New Roman"/>
          <w:sz w:val="28"/>
          <w:szCs w:val="28"/>
          <w:lang w:eastAsia="ru-RU"/>
        </w:rPr>
      </w:pPr>
    </w:p>
    <w:p w:rsidR="00A279A2" w:rsidRDefault="00A279A2" w:rsidP="009B0CEA">
      <w:pPr>
        <w:spacing w:after="0" w:line="360" w:lineRule="auto"/>
        <w:ind w:firstLine="709"/>
        <w:jc w:val="both"/>
        <w:rPr>
          <w:rFonts w:ascii="Times New Roman" w:eastAsia="Times New Roman" w:hAnsi="Times New Roman" w:cs="Times New Roman"/>
          <w:sz w:val="28"/>
          <w:szCs w:val="28"/>
          <w:lang w:eastAsia="ru-RU"/>
        </w:rPr>
      </w:pPr>
    </w:p>
    <w:sectPr w:rsidR="00A279A2" w:rsidSect="00190EAD">
      <w:headerReference w:type="default" r:id="rId33"/>
      <w:footerReference w:type="default" r:id="rId3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E6" w:rsidRDefault="004E24E6">
      <w:pPr>
        <w:spacing w:after="0" w:line="240" w:lineRule="auto"/>
      </w:pPr>
      <w:r>
        <w:separator/>
      </w:r>
    </w:p>
  </w:endnote>
  <w:endnote w:type="continuationSeparator" w:id="0">
    <w:p w:rsidR="004E24E6" w:rsidRDefault="004E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C9" w:rsidRDefault="00F607C9" w:rsidP="00D36FD9">
    <w:pPr>
      <w:pStyle w:val="af6"/>
      <w:tabs>
        <w:tab w:val="clear" w:pos="4677"/>
        <w:tab w:val="clear" w:pos="9355"/>
        <w:tab w:val="left" w:pos="22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E6" w:rsidRDefault="004E24E6">
      <w:pPr>
        <w:spacing w:after="0" w:line="240" w:lineRule="auto"/>
      </w:pPr>
      <w:r>
        <w:separator/>
      </w:r>
    </w:p>
  </w:footnote>
  <w:footnote w:type="continuationSeparator" w:id="0">
    <w:p w:rsidR="004E24E6" w:rsidRDefault="004E2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2605"/>
      <w:docPartObj>
        <w:docPartGallery w:val="Page Numbers (Top of Page)"/>
        <w:docPartUnique/>
      </w:docPartObj>
    </w:sdtPr>
    <w:sdtEndPr/>
    <w:sdtContent>
      <w:p w:rsidR="00F607C9" w:rsidRDefault="00F607C9">
        <w:pPr>
          <w:pStyle w:val="a7"/>
          <w:jc w:val="center"/>
        </w:pPr>
        <w:r>
          <w:fldChar w:fldCharType="begin"/>
        </w:r>
        <w:r>
          <w:instrText>PAGE   \* MERGEFORMAT</w:instrText>
        </w:r>
        <w:r>
          <w:fldChar w:fldCharType="separate"/>
        </w:r>
        <w:r w:rsidR="009D2690">
          <w:rPr>
            <w:noProof/>
          </w:rPr>
          <w:t>2</w:t>
        </w:r>
        <w:r>
          <w:fldChar w:fldCharType="end"/>
        </w:r>
      </w:p>
    </w:sdtContent>
  </w:sdt>
  <w:p w:rsidR="00F607C9" w:rsidRDefault="00F607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3">
    <w:nsid w:val="0CE43206"/>
    <w:multiLevelType w:val="hybridMultilevel"/>
    <w:tmpl w:val="83664FA4"/>
    <w:lvl w:ilvl="0" w:tplc="44A6F8C0">
      <w:start w:val="1"/>
      <w:numFmt w:val="decimal"/>
      <w:lvlText w:val="%1."/>
      <w:lvlJc w:val="left"/>
      <w:pPr>
        <w:ind w:left="786"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0B3F14"/>
    <w:multiLevelType w:val="hybridMultilevel"/>
    <w:tmpl w:val="8FF8C9D8"/>
    <w:lvl w:ilvl="0" w:tplc="87E4C2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E261176"/>
    <w:multiLevelType w:val="hybridMultilevel"/>
    <w:tmpl w:val="633A234A"/>
    <w:lvl w:ilvl="0" w:tplc="54E09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D76CB5"/>
    <w:multiLevelType w:val="hybridMultilevel"/>
    <w:tmpl w:val="F4B2EDD6"/>
    <w:lvl w:ilvl="0" w:tplc="0A746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5D71FF"/>
    <w:multiLevelType w:val="hybridMultilevel"/>
    <w:tmpl w:val="DE26037E"/>
    <w:lvl w:ilvl="0" w:tplc="26620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C4730FD"/>
    <w:multiLevelType w:val="hybridMultilevel"/>
    <w:tmpl w:val="DEAAA944"/>
    <w:lvl w:ilvl="0" w:tplc="0420A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2">
    <w:nsid w:val="7E89177B"/>
    <w:multiLevelType w:val="hybridMultilevel"/>
    <w:tmpl w:val="A04CF98C"/>
    <w:lvl w:ilvl="0" w:tplc="1EA27F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1"/>
  </w:num>
  <w:num w:numId="3">
    <w:abstractNumId w:val="4"/>
  </w:num>
  <w:num w:numId="4">
    <w:abstractNumId w:val="7"/>
  </w:num>
  <w:num w:numId="5">
    <w:abstractNumId w:val="8"/>
  </w:num>
  <w:num w:numId="6">
    <w:abstractNumId w:val="0"/>
  </w:num>
  <w:num w:numId="7">
    <w:abstractNumId w:val="1"/>
  </w:num>
  <w:num w:numId="8">
    <w:abstractNumId w:val="10"/>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1CF7"/>
    <w:rsid w:val="000044FF"/>
    <w:rsid w:val="00005743"/>
    <w:rsid w:val="00010107"/>
    <w:rsid w:val="000102D6"/>
    <w:rsid w:val="000140C2"/>
    <w:rsid w:val="0001525D"/>
    <w:rsid w:val="00022500"/>
    <w:rsid w:val="00023CA6"/>
    <w:rsid w:val="00023FD3"/>
    <w:rsid w:val="00025F48"/>
    <w:rsid w:val="00031D8A"/>
    <w:rsid w:val="00036FC8"/>
    <w:rsid w:val="00040A65"/>
    <w:rsid w:val="0004268D"/>
    <w:rsid w:val="000449B6"/>
    <w:rsid w:val="000449E1"/>
    <w:rsid w:val="000450FB"/>
    <w:rsid w:val="00046275"/>
    <w:rsid w:val="00047E76"/>
    <w:rsid w:val="0005247D"/>
    <w:rsid w:val="00053A58"/>
    <w:rsid w:val="000540C9"/>
    <w:rsid w:val="000556F8"/>
    <w:rsid w:val="00056D33"/>
    <w:rsid w:val="00057926"/>
    <w:rsid w:val="000613AE"/>
    <w:rsid w:val="00062885"/>
    <w:rsid w:val="00062956"/>
    <w:rsid w:val="00065E10"/>
    <w:rsid w:val="00072E2B"/>
    <w:rsid w:val="0007415F"/>
    <w:rsid w:val="00074E35"/>
    <w:rsid w:val="00077F78"/>
    <w:rsid w:val="00081CFF"/>
    <w:rsid w:val="00083CCE"/>
    <w:rsid w:val="00083D6F"/>
    <w:rsid w:val="000848DF"/>
    <w:rsid w:val="00084AB2"/>
    <w:rsid w:val="00086A43"/>
    <w:rsid w:val="00087044"/>
    <w:rsid w:val="0009023B"/>
    <w:rsid w:val="00090E1A"/>
    <w:rsid w:val="00091D65"/>
    <w:rsid w:val="00093E4A"/>
    <w:rsid w:val="00095FDE"/>
    <w:rsid w:val="000A02D3"/>
    <w:rsid w:val="000A085D"/>
    <w:rsid w:val="000A5276"/>
    <w:rsid w:val="000A59B0"/>
    <w:rsid w:val="000A69B2"/>
    <w:rsid w:val="000B646E"/>
    <w:rsid w:val="000C11C3"/>
    <w:rsid w:val="000C277F"/>
    <w:rsid w:val="000C580E"/>
    <w:rsid w:val="000C7DDE"/>
    <w:rsid w:val="000D0243"/>
    <w:rsid w:val="000D097D"/>
    <w:rsid w:val="000D22E7"/>
    <w:rsid w:val="000D28BC"/>
    <w:rsid w:val="000D5482"/>
    <w:rsid w:val="000D70A4"/>
    <w:rsid w:val="000E05A6"/>
    <w:rsid w:val="000E3A15"/>
    <w:rsid w:val="000E618E"/>
    <w:rsid w:val="000E62AB"/>
    <w:rsid w:val="000E66D6"/>
    <w:rsid w:val="000E6965"/>
    <w:rsid w:val="000F048F"/>
    <w:rsid w:val="000F0D39"/>
    <w:rsid w:val="000F3B3F"/>
    <w:rsid w:val="001011E5"/>
    <w:rsid w:val="001020E9"/>
    <w:rsid w:val="00102A68"/>
    <w:rsid w:val="00104043"/>
    <w:rsid w:val="00110E7D"/>
    <w:rsid w:val="00111674"/>
    <w:rsid w:val="00112A7C"/>
    <w:rsid w:val="00114126"/>
    <w:rsid w:val="00114A0C"/>
    <w:rsid w:val="00114C4B"/>
    <w:rsid w:val="00123585"/>
    <w:rsid w:val="001237F5"/>
    <w:rsid w:val="001241DC"/>
    <w:rsid w:val="0012597D"/>
    <w:rsid w:val="00126AB3"/>
    <w:rsid w:val="001309B1"/>
    <w:rsid w:val="001309F3"/>
    <w:rsid w:val="00131542"/>
    <w:rsid w:val="0013279E"/>
    <w:rsid w:val="00133A23"/>
    <w:rsid w:val="00134902"/>
    <w:rsid w:val="00135850"/>
    <w:rsid w:val="00135ECC"/>
    <w:rsid w:val="00140EA9"/>
    <w:rsid w:val="00141099"/>
    <w:rsid w:val="0014249C"/>
    <w:rsid w:val="001425CB"/>
    <w:rsid w:val="00144AEF"/>
    <w:rsid w:val="00145979"/>
    <w:rsid w:val="00150CE4"/>
    <w:rsid w:val="001534A3"/>
    <w:rsid w:val="00153A8E"/>
    <w:rsid w:val="00155213"/>
    <w:rsid w:val="00155325"/>
    <w:rsid w:val="00156A98"/>
    <w:rsid w:val="001577DD"/>
    <w:rsid w:val="001603AB"/>
    <w:rsid w:val="00160D6A"/>
    <w:rsid w:val="00160ED6"/>
    <w:rsid w:val="00161017"/>
    <w:rsid w:val="00162019"/>
    <w:rsid w:val="001653E8"/>
    <w:rsid w:val="0016547D"/>
    <w:rsid w:val="001654DA"/>
    <w:rsid w:val="00166B2B"/>
    <w:rsid w:val="00174272"/>
    <w:rsid w:val="0018414D"/>
    <w:rsid w:val="00185768"/>
    <w:rsid w:val="00186957"/>
    <w:rsid w:val="001879B7"/>
    <w:rsid w:val="00190EAD"/>
    <w:rsid w:val="00192163"/>
    <w:rsid w:val="00192B0F"/>
    <w:rsid w:val="00195F43"/>
    <w:rsid w:val="001960E2"/>
    <w:rsid w:val="001963F0"/>
    <w:rsid w:val="0019696A"/>
    <w:rsid w:val="001A1871"/>
    <w:rsid w:val="001A33AE"/>
    <w:rsid w:val="001A5797"/>
    <w:rsid w:val="001A6C39"/>
    <w:rsid w:val="001B1DC1"/>
    <w:rsid w:val="001B240F"/>
    <w:rsid w:val="001B2D3B"/>
    <w:rsid w:val="001B3994"/>
    <w:rsid w:val="001B4110"/>
    <w:rsid w:val="001C03A8"/>
    <w:rsid w:val="001C1E83"/>
    <w:rsid w:val="001D1B13"/>
    <w:rsid w:val="001D249D"/>
    <w:rsid w:val="001D30E0"/>
    <w:rsid w:val="001D549E"/>
    <w:rsid w:val="001D5C22"/>
    <w:rsid w:val="001E06B5"/>
    <w:rsid w:val="001E0962"/>
    <w:rsid w:val="001E10B1"/>
    <w:rsid w:val="001E4E74"/>
    <w:rsid w:val="001E6F5F"/>
    <w:rsid w:val="001E7BBC"/>
    <w:rsid w:val="001F244F"/>
    <w:rsid w:val="001F3455"/>
    <w:rsid w:val="001F3475"/>
    <w:rsid w:val="001F4E1A"/>
    <w:rsid w:val="001F660C"/>
    <w:rsid w:val="00202FE3"/>
    <w:rsid w:val="00204350"/>
    <w:rsid w:val="00204F74"/>
    <w:rsid w:val="00205574"/>
    <w:rsid w:val="00205D2A"/>
    <w:rsid w:val="002060A0"/>
    <w:rsid w:val="00207455"/>
    <w:rsid w:val="002101A9"/>
    <w:rsid w:val="0021257C"/>
    <w:rsid w:val="00216E0B"/>
    <w:rsid w:val="0021774D"/>
    <w:rsid w:val="002236A5"/>
    <w:rsid w:val="00223CCF"/>
    <w:rsid w:val="00230630"/>
    <w:rsid w:val="002345EC"/>
    <w:rsid w:val="002351FE"/>
    <w:rsid w:val="002365A8"/>
    <w:rsid w:val="00236B10"/>
    <w:rsid w:val="00237578"/>
    <w:rsid w:val="00237B88"/>
    <w:rsid w:val="002416BD"/>
    <w:rsid w:val="00243697"/>
    <w:rsid w:val="00243D99"/>
    <w:rsid w:val="0024409D"/>
    <w:rsid w:val="002446BC"/>
    <w:rsid w:val="00244AC7"/>
    <w:rsid w:val="00245DF2"/>
    <w:rsid w:val="002542AF"/>
    <w:rsid w:val="00254C90"/>
    <w:rsid w:val="00254D41"/>
    <w:rsid w:val="00257018"/>
    <w:rsid w:val="00262BCC"/>
    <w:rsid w:val="00263394"/>
    <w:rsid w:val="00263D20"/>
    <w:rsid w:val="00264547"/>
    <w:rsid w:val="00265F75"/>
    <w:rsid w:val="00267040"/>
    <w:rsid w:val="00270214"/>
    <w:rsid w:val="00270C21"/>
    <w:rsid w:val="0027189E"/>
    <w:rsid w:val="002731BA"/>
    <w:rsid w:val="00274E8C"/>
    <w:rsid w:val="00275892"/>
    <w:rsid w:val="00275B6D"/>
    <w:rsid w:val="00280871"/>
    <w:rsid w:val="00280A94"/>
    <w:rsid w:val="00280F76"/>
    <w:rsid w:val="00283DD0"/>
    <w:rsid w:val="0028563D"/>
    <w:rsid w:val="002858E9"/>
    <w:rsid w:val="00286D22"/>
    <w:rsid w:val="00293625"/>
    <w:rsid w:val="0029760A"/>
    <w:rsid w:val="002A0841"/>
    <w:rsid w:val="002A1781"/>
    <w:rsid w:val="002A262E"/>
    <w:rsid w:val="002A39AD"/>
    <w:rsid w:val="002A5615"/>
    <w:rsid w:val="002A677A"/>
    <w:rsid w:val="002A760D"/>
    <w:rsid w:val="002B3A17"/>
    <w:rsid w:val="002B7FD1"/>
    <w:rsid w:val="002C11AF"/>
    <w:rsid w:val="002C2911"/>
    <w:rsid w:val="002C349D"/>
    <w:rsid w:val="002C397E"/>
    <w:rsid w:val="002C4D98"/>
    <w:rsid w:val="002D17A0"/>
    <w:rsid w:val="002D2FF7"/>
    <w:rsid w:val="002D50EC"/>
    <w:rsid w:val="002D6514"/>
    <w:rsid w:val="002D6701"/>
    <w:rsid w:val="002D7D0D"/>
    <w:rsid w:val="002E3560"/>
    <w:rsid w:val="002E420A"/>
    <w:rsid w:val="002E4D40"/>
    <w:rsid w:val="002E628A"/>
    <w:rsid w:val="002E6292"/>
    <w:rsid w:val="002F2EDE"/>
    <w:rsid w:val="002F4AB6"/>
    <w:rsid w:val="002F70BC"/>
    <w:rsid w:val="002F79A5"/>
    <w:rsid w:val="00304E16"/>
    <w:rsid w:val="00305A71"/>
    <w:rsid w:val="00305B0D"/>
    <w:rsid w:val="00305D15"/>
    <w:rsid w:val="00313B16"/>
    <w:rsid w:val="00315961"/>
    <w:rsid w:val="00317F9A"/>
    <w:rsid w:val="00320C13"/>
    <w:rsid w:val="00323FC2"/>
    <w:rsid w:val="00330192"/>
    <w:rsid w:val="00330760"/>
    <w:rsid w:val="003320A8"/>
    <w:rsid w:val="0033227F"/>
    <w:rsid w:val="00333350"/>
    <w:rsid w:val="0033575E"/>
    <w:rsid w:val="003359F4"/>
    <w:rsid w:val="00335B06"/>
    <w:rsid w:val="00335D09"/>
    <w:rsid w:val="00341073"/>
    <w:rsid w:val="00341A16"/>
    <w:rsid w:val="00342628"/>
    <w:rsid w:val="00343A4C"/>
    <w:rsid w:val="00343D1A"/>
    <w:rsid w:val="00345AA3"/>
    <w:rsid w:val="003469F5"/>
    <w:rsid w:val="0035044F"/>
    <w:rsid w:val="00350A15"/>
    <w:rsid w:val="00350D34"/>
    <w:rsid w:val="003525FE"/>
    <w:rsid w:val="0035485B"/>
    <w:rsid w:val="0035674F"/>
    <w:rsid w:val="00357099"/>
    <w:rsid w:val="0035748F"/>
    <w:rsid w:val="0035765A"/>
    <w:rsid w:val="00357BA4"/>
    <w:rsid w:val="00361372"/>
    <w:rsid w:val="003650C1"/>
    <w:rsid w:val="00366666"/>
    <w:rsid w:val="00367FE7"/>
    <w:rsid w:val="00371229"/>
    <w:rsid w:val="00374F2B"/>
    <w:rsid w:val="003773B0"/>
    <w:rsid w:val="0038147C"/>
    <w:rsid w:val="00383B24"/>
    <w:rsid w:val="0038419D"/>
    <w:rsid w:val="00384451"/>
    <w:rsid w:val="003850AD"/>
    <w:rsid w:val="00385701"/>
    <w:rsid w:val="00385A82"/>
    <w:rsid w:val="0038759D"/>
    <w:rsid w:val="00396E6F"/>
    <w:rsid w:val="00396FDA"/>
    <w:rsid w:val="0039716D"/>
    <w:rsid w:val="003A1057"/>
    <w:rsid w:val="003A3593"/>
    <w:rsid w:val="003A397F"/>
    <w:rsid w:val="003A4B73"/>
    <w:rsid w:val="003A6F30"/>
    <w:rsid w:val="003B02C3"/>
    <w:rsid w:val="003B602A"/>
    <w:rsid w:val="003C319B"/>
    <w:rsid w:val="003D0BC2"/>
    <w:rsid w:val="003D14D0"/>
    <w:rsid w:val="003D236C"/>
    <w:rsid w:val="003D2D42"/>
    <w:rsid w:val="003D30CD"/>
    <w:rsid w:val="003D57D3"/>
    <w:rsid w:val="003E0BF9"/>
    <w:rsid w:val="003E0F28"/>
    <w:rsid w:val="003E28D9"/>
    <w:rsid w:val="003E4D06"/>
    <w:rsid w:val="003E4DC8"/>
    <w:rsid w:val="003E550B"/>
    <w:rsid w:val="003E5DC2"/>
    <w:rsid w:val="003E6518"/>
    <w:rsid w:val="003F10A1"/>
    <w:rsid w:val="003F22FD"/>
    <w:rsid w:val="003F327D"/>
    <w:rsid w:val="003F7162"/>
    <w:rsid w:val="00400598"/>
    <w:rsid w:val="00401787"/>
    <w:rsid w:val="00401E53"/>
    <w:rsid w:val="0040213C"/>
    <w:rsid w:val="00402603"/>
    <w:rsid w:val="004029A3"/>
    <w:rsid w:val="00405900"/>
    <w:rsid w:val="00405C70"/>
    <w:rsid w:val="00406C0C"/>
    <w:rsid w:val="0040748F"/>
    <w:rsid w:val="004074B4"/>
    <w:rsid w:val="00407F54"/>
    <w:rsid w:val="00411C06"/>
    <w:rsid w:val="0041254F"/>
    <w:rsid w:val="00414A30"/>
    <w:rsid w:val="00416F56"/>
    <w:rsid w:val="00421DDB"/>
    <w:rsid w:val="00431613"/>
    <w:rsid w:val="00435414"/>
    <w:rsid w:val="004370B6"/>
    <w:rsid w:val="004377C6"/>
    <w:rsid w:val="00441F30"/>
    <w:rsid w:val="00442DEA"/>
    <w:rsid w:val="004441D2"/>
    <w:rsid w:val="00444877"/>
    <w:rsid w:val="004521DB"/>
    <w:rsid w:val="0045417B"/>
    <w:rsid w:val="0045569C"/>
    <w:rsid w:val="00456C9B"/>
    <w:rsid w:val="00457E59"/>
    <w:rsid w:val="0046065F"/>
    <w:rsid w:val="00460BAC"/>
    <w:rsid w:val="00461E9D"/>
    <w:rsid w:val="004666E4"/>
    <w:rsid w:val="00466FBE"/>
    <w:rsid w:val="004728AD"/>
    <w:rsid w:val="00472B42"/>
    <w:rsid w:val="00472CD6"/>
    <w:rsid w:val="00474CCC"/>
    <w:rsid w:val="00475E0C"/>
    <w:rsid w:val="00477BBB"/>
    <w:rsid w:val="00482775"/>
    <w:rsid w:val="004906FD"/>
    <w:rsid w:val="00491A54"/>
    <w:rsid w:val="00494D16"/>
    <w:rsid w:val="0049517C"/>
    <w:rsid w:val="00496BAA"/>
    <w:rsid w:val="004A14D3"/>
    <w:rsid w:val="004A1EF7"/>
    <w:rsid w:val="004A2803"/>
    <w:rsid w:val="004A4586"/>
    <w:rsid w:val="004A572C"/>
    <w:rsid w:val="004A7D29"/>
    <w:rsid w:val="004B0336"/>
    <w:rsid w:val="004B16F9"/>
    <w:rsid w:val="004B28E0"/>
    <w:rsid w:val="004B3976"/>
    <w:rsid w:val="004B7BAA"/>
    <w:rsid w:val="004B7FF7"/>
    <w:rsid w:val="004C14C2"/>
    <w:rsid w:val="004C1A79"/>
    <w:rsid w:val="004C1E38"/>
    <w:rsid w:val="004C3D82"/>
    <w:rsid w:val="004C3E26"/>
    <w:rsid w:val="004C4E43"/>
    <w:rsid w:val="004C60A5"/>
    <w:rsid w:val="004C6D01"/>
    <w:rsid w:val="004D0E28"/>
    <w:rsid w:val="004D1278"/>
    <w:rsid w:val="004D13FF"/>
    <w:rsid w:val="004D3CD1"/>
    <w:rsid w:val="004D42F7"/>
    <w:rsid w:val="004D4302"/>
    <w:rsid w:val="004D7BFC"/>
    <w:rsid w:val="004D7E19"/>
    <w:rsid w:val="004E1B53"/>
    <w:rsid w:val="004E24E6"/>
    <w:rsid w:val="004E354C"/>
    <w:rsid w:val="004E3E23"/>
    <w:rsid w:val="004E6247"/>
    <w:rsid w:val="004F0CDF"/>
    <w:rsid w:val="004F2BC7"/>
    <w:rsid w:val="004F2C17"/>
    <w:rsid w:val="004F40AD"/>
    <w:rsid w:val="004F5A08"/>
    <w:rsid w:val="004F5B12"/>
    <w:rsid w:val="004F607B"/>
    <w:rsid w:val="004F7CB4"/>
    <w:rsid w:val="00501405"/>
    <w:rsid w:val="0050233E"/>
    <w:rsid w:val="00502AE6"/>
    <w:rsid w:val="005030F2"/>
    <w:rsid w:val="0050530A"/>
    <w:rsid w:val="00507F75"/>
    <w:rsid w:val="0051283A"/>
    <w:rsid w:val="005135AB"/>
    <w:rsid w:val="00514107"/>
    <w:rsid w:val="0052364A"/>
    <w:rsid w:val="0052397E"/>
    <w:rsid w:val="00524758"/>
    <w:rsid w:val="0052617D"/>
    <w:rsid w:val="00526D11"/>
    <w:rsid w:val="00527FFD"/>
    <w:rsid w:val="005324AD"/>
    <w:rsid w:val="00535A61"/>
    <w:rsid w:val="0053657C"/>
    <w:rsid w:val="00537600"/>
    <w:rsid w:val="00540EFA"/>
    <w:rsid w:val="005414B3"/>
    <w:rsid w:val="00543FF6"/>
    <w:rsid w:val="005443DD"/>
    <w:rsid w:val="005444CC"/>
    <w:rsid w:val="005471E8"/>
    <w:rsid w:val="00547B57"/>
    <w:rsid w:val="00552277"/>
    <w:rsid w:val="00552EA6"/>
    <w:rsid w:val="005536ED"/>
    <w:rsid w:val="00553C23"/>
    <w:rsid w:val="00554B8B"/>
    <w:rsid w:val="0055753A"/>
    <w:rsid w:val="00564B93"/>
    <w:rsid w:val="00564D04"/>
    <w:rsid w:val="0056500B"/>
    <w:rsid w:val="005679D4"/>
    <w:rsid w:val="005703CC"/>
    <w:rsid w:val="0057115D"/>
    <w:rsid w:val="005744C0"/>
    <w:rsid w:val="005745F7"/>
    <w:rsid w:val="0057693F"/>
    <w:rsid w:val="00580484"/>
    <w:rsid w:val="00583033"/>
    <w:rsid w:val="00583AC4"/>
    <w:rsid w:val="0058574B"/>
    <w:rsid w:val="00587327"/>
    <w:rsid w:val="0059027D"/>
    <w:rsid w:val="00591960"/>
    <w:rsid w:val="00593722"/>
    <w:rsid w:val="005940EA"/>
    <w:rsid w:val="00597BAF"/>
    <w:rsid w:val="00597D42"/>
    <w:rsid w:val="005A5FD5"/>
    <w:rsid w:val="005B2847"/>
    <w:rsid w:val="005B43E7"/>
    <w:rsid w:val="005B5C69"/>
    <w:rsid w:val="005C59E7"/>
    <w:rsid w:val="005C6276"/>
    <w:rsid w:val="005C7B13"/>
    <w:rsid w:val="005D31EE"/>
    <w:rsid w:val="005D39B6"/>
    <w:rsid w:val="005D7CBF"/>
    <w:rsid w:val="005D7F4A"/>
    <w:rsid w:val="005E65FF"/>
    <w:rsid w:val="005E6E0C"/>
    <w:rsid w:val="005E79BD"/>
    <w:rsid w:val="005E7E1F"/>
    <w:rsid w:val="005F1476"/>
    <w:rsid w:val="005F1C11"/>
    <w:rsid w:val="00600CC9"/>
    <w:rsid w:val="00602384"/>
    <w:rsid w:val="0060639A"/>
    <w:rsid w:val="00606E18"/>
    <w:rsid w:val="00607365"/>
    <w:rsid w:val="00611B47"/>
    <w:rsid w:val="00612B51"/>
    <w:rsid w:val="00612D6A"/>
    <w:rsid w:val="0061304F"/>
    <w:rsid w:val="006136A5"/>
    <w:rsid w:val="0061594C"/>
    <w:rsid w:val="00616A5F"/>
    <w:rsid w:val="00616E44"/>
    <w:rsid w:val="006243C4"/>
    <w:rsid w:val="006247FA"/>
    <w:rsid w:val="00626584"/>
    <w:rsid w:val="0062664F"/>
    <w:rsid w:val="00627FF9"/>
    <w:rsid w:val="00630DA8"/>
    <w:rsid w:val="00631681"/>
    <w:rsid w:val="00632736"/>
    <w:rsid w:val="00632AD1"/>
    <w:rsid w:val="00632BE7"/>
    <w:rsid w:val="00633D13"/>
    <w:rsid w:val="00634FCF"/>
    <w:rsid w:val="00644CB3"/>
    <w:rsid w:val="006460F4"/>
    <w:rsid w:val="006461F5"/>
    <w:rsid w:val="006465D4"/>
    <w:rsid w:val="00646E9D"/>
    <w:rsid w:val="00647367"/>
    <w:rsid w:val="0065046C"/>
    <w:rsid w:val="006507F2"/>
    <w:rsid w:val="00650983"/>
    <w:rsid w:val="006527D6"/>
    <w:rsid w:val="00657AAA"/>
    <w:rsid w:val="006626B7"/>
    <w:rsid w:val="00662989"/>
    <w:rsid w:val="00664775"/>
    <w:rsid w:val="00664F37"/>
    <w:rsid w:val="00666C39"/>
    <w:rsid w:val="00672C6C"/>
    <w:rsid w:val="0067318E"/>
    <w:rsid w:val="00673A5B"/>
    <w:rsid w:val="00675F8C"/>
    <w:rsid w:val="00676047"/>
    <w:rsid w:val="00676C5F"/>
    <w:rsid w:val="00685414"/>
    <w:rsid w:val="00686835"/>
    <w:rsid w:val="00686CB4"/>
    <w:rsid w:val="00687A08"/>
    <w:rsid w:val="006905C3"/>
    <w:rsid w:val="0069362B"/>
    <w:rsid w:val="00695386"/>
    <w:rsid w:val="0069770A"/>
    <w:rsid w:val="006A339C"/>
    <w:rsid w:val="006A460B"/>
    <w:rsid w:val="006A5F16"/>
    <w:rsid w:val="006B07D7"/>
    <w:rsid w:val="006B125A"/>
    <w:rsid w:val="006B135B"/>
    <w:rsid w:val="006B34F8"/>
    <w:rsid w:val="006B6CF6"/>
    <w:rsid w:val="006B7477"/>
    <w:rsid w:val="006C0A28"/>
    <w:rsid w:val="006C2522"/>
    <w:rsid w:val="006C515B"/>
    <w:rsid w:val="006D1444"/>
    <w:rsid w:val="006D1CD2"/>
    <w:rsid w:val="006D2C1F"/>
    <w:rsid w:val="006D2E81"/>
    <w:rsid w:val="006D6F03"/>
    <w:rsid w:val="006E187B"/>
    <w:rsid w:val="006E224C"/>
    <w:rsid w:val="006E30B0"/>
    <w:rsid w:val="006E4442"/>
    <w:rsid w:val="006E48B1"/>
    <w:rsid w:val="006E4C2C"/>
    <w:rsid w:val="006E74ED"/>
    <w:rsid w:val="006E798C"/>
    <w:rsid w:val="006F291F"/>
    <w:rsid w:val="006F2FDE"/>
    <w:rsid w:val="006F38D4"/>
    <w:rsid w:val="006F44A8"/>
    <w:rsid w:val="00702D88"/>
    <w:rsid w:val="00703501"/>
    <w:rsid w:val="007044E8"/>
    <w:rsid w:val="00706888"/>
    <w:rsid w:val="00710AEA"/>
    <w:rsid w:val="00712871"/>
    <w:rsid w:val="00713203"/>
    <w:rsid w:val="00715CC9"/>
    <w:rsid w:val="00717B2F"/>
    <w:rsid w:val="007255EC"/>
    <w:rsid w:val="00725675"/>
    <w:rsid w:val="00730B47"/>
    <w:rsid w:val="00730F09"/>
    <w:rsid w:val="0073141A"/>
    <w:rsid w:val="0073231A"/>
    <w:rsid w:val="007331DA"/>
    <w:rsid w:val="00733B6F"/>
    <w:rsid w:val="00733FEB"/>
    <w:rsid w:val="00736C6E"/>
    <w:rsid w:val="007375C5"/>
    <w:rsid w:val="00741DD6"/>
    <w:rsid w:val="007420CE"/>
    <w:rsid w:val="0074361B"/>
    <w:rsid w:val="0074547B"/>
    <w:rsid w:val="00747101"/>
    <w:rsid w:val="0074795F"/>
    <w:rsid w:val="00747A2A"/>
    <w:rsid w:val="007506F4"/>
    <w:rsid w:val="007510EB"/>
    <w:rsid w:val="0075211A"/>
    <w:rsid w:val="007559A7"/>
    <w:rsid w:val="00760642"/>
    <w:rsid w:val="00760E43"/>
    <w:rsid w:val="0076107E"/>
    <w:rsid w:val="00761A2C"/>
    <w:rsid w:val="00763219"/>
    <w:rsid w:val="00763AF8"/>
    <w:rsid w:val="00767F82"/>
    <w:rsid w:val="00773FF7"/>
    <w:rsid w:val="00774715"/>
    <w:rsid w:val="00774F4B"/>
    <w:rsid w:val="007752AE"/>
    <w:rsid w:val="00775AA1"/>
    <w:rsid w:val="00781116"/>
    <w:rsid w:val="007847C7"/>
    <w:rsid w:val="00786022"/>
    <w:rsid w:val="00791140"/>
    <w:rsid w:val="0079130B"/>
    <w:rsid w:val="00791582"/>
    <w:rsid w:val="007919D9"/>
    <w:rsid w:val="0079380C"/>
    <w:rsid w:val="00795578"/>
    <w:rsid w:val="00795AF4"/>
    <w:rsid w:val="00796431"/>
    <w:rsid w:val="00796441"/>
    <w:rsid w:val="00796552"/>
    <w:rsid w:val="007977A7"/>
    <w:rsid w:val="007A0436"/>
    <w:rsid w:val="007A18CA"/>
    <w:rsid w:val="007A3587"/>
    <w:rsid w:val="007A3EFF"/>
    <w:rsid w:val="007A4F67"/>
    <w:rsid w:val="007A5FC3"/>
    <w:rsid w:val="007A7033"/>
    <w:rsid w:val="007B19A3"/>
    <w:rsid w:val="007B4D99"/>
    <w:rsid w:val="007B72A2"/>
    <w:rsid w:val="007C12B7"/>
    <w:rsid w:val="007C485D"/>
    <w:rsid w:val="007C7E28"/>
    <w:rsid w:val="007D0298"/>
    <w:rsid w:val="007D1D1A"/>
    <w:rsid w:val="007D1E12"/>
    <w:rsid w:val="007D4DB6"/>
    <w:rsid w:val="007E39B2"/>
    <w:rsid w:val="007E7878"/>
    <w:rsid w:val="007F5498"/>
    <w:rsid w:val="008031CC"/>
    <w:rsid w:val="00804149"/>
    <w:rsid w:val="00806C22"/>
    <w:rsid w:val="00810659"/>
    <w:rsid w:val="008130CA"/>
    <w:rsid w:val="00814D99"/>
    <w:rsid w:val="00820A0D"/>
    <w:rsid w:val="0082143D"/>
    <w:rsid w:val="00823567"/>
    <w:rsid w:val="008240E5"/>
    <w:rsid w:val="00824922"/>
    <w:rsid w:val="008258F8"/>
    <w:rsid w:val="0082592A"/>
    <w:rsid w:val="00827D3D"/>
    <w:rsid w:val="0083060A"/>
    <w:rsid w:val="00830C24"/>
    <w:rsid w:val="00831996"/>
    <w:rsid w:val="00831A74"/>
    <w:rsid w:val="00831B07"/>
    <w:rsid w:val="008365D0"/>
    <w:rsid w:val="00837F75"/>
    <w:rsid w:val="00841413"/>
    <w:rsid w:val="0084230C"/>
    <w:rsid w:val="00842CCB"/>
    <w:rsid w:val="00843E83"/>
    <w:rsid w:val="00844330"/>
    <w:rsid w:val="0084481D"/>
    <w:rsid w:val="0084604F"/>
    <w:rsid w:val="00847701"/>
    <w:rsid w:val="0085036D"/>
    <w:rsid w:val="00853313"/>
    <w:rsid w:val="008557D6"/>
    <w:rsid w:val="00860D5C"/>
    <w:rsid w:val="0086366B"/>
    <w:rsid w:val="008713A6"/>
    <w:rsid w:val="00872878"/>
    <w:rsid w:val="00872DA9"/>
    <w:rsid w:val="008732AB"/>
    <w:rsid w:val="00874BAA"/>
    <w:rsid w:val="008755B6"/>
    <w:rsid w:val="00880396"/>
    <w:rsid w:val="008805F4"/>
    <w:rsid w:val="00880BEE"/>
    <w:rsid w:val="00883280"/>
    <w:rsid w:val="008863F0"/>
    <w:rsid w:val="00893506"/>
    <w:rsid w:val="00894EC2"/>
    <w:rsid w:val="00895537"/>
    <w:rsid w:val="00897655"/>
    <w:rsid w:val="008A0671"/>
    <w:rsid w:val="008A6EA4"/>
    <w:rsid w:val="008B0131"/>
    <w:rsid w:val="008B14AD"/>
    <w:rsid w:val="008B1E47"/>
    <w:rsid w:val="008B2297"/>
    <w:rsid w:val="008B2489"/>
    <w:rsid w:val="008C24F0"/>
    <w:rsid w:val="008C6955"/>
    <w:rsid w:val="008C6F96"/>
    <w:rsid w:val="008C7EC0"/>
    <w:rsid w:val="008D0EC5"/>
    <w:rsid w:val="008D15B3"/>
    <w:rsid w:val="008D3FC5"/>
    <w:rsid w:val="008D4116"/>
    <w:rsid w:val="008D5085"/>
    <w:rsid w:val="008D7825"/>
    <w:rsid w:val="008E14F3"/>
    <w:rsid w:val="008E1EB0"/>
    <w:rsid w:val="008E2E22"/>
    <w:rsid w:val="008E30C9"/>
    <w:rsid w:val="008E38BF"/>
    <w:rsid w:val="008E3DD7"/>
    <w:rsid w:val="008E5321"/>
    <w:rsid w:val="008E60C8"/>
    <w:rsid w:val="008F009C"/>
    <w:rsid w:val="008F0FDA"/>
    <w:rsid w:val="008F319C"/>
    <w:rsid w:val="008F3D8B"/>
    <w:rsid w:val="008F4D14"/>
    <w:rsid w:val="008F6B18"/>
    <w:rsid w:val="008F7828"/>
    <w:rsid w:val="0090242C"/>
    <w:rsid w:val="00902D8C"/>
    <w:rsid w:val="00905484"/>
    <w:rsid w:val="009066D6"/>
    <w:rsid w:val="00907375"/>
    <w:rsid w:val="00913738"/>
    <w:rsid w:val="009151CF"/>
    <w:rsid w:val="0091799E"/>
    <w:rsid w:val="009201A2"/>
    <w:rsid w:val="00920232"/>
    <w:rsid w:val="0092150E"/>
    <w:rsid w:val="00921AA5"/>
    <w:rsid w:val="0092254E"/>
    <w:rsid w:val="009230C6"/>
    <w:rsid w:val="00924488"/>
    <w:rsid w:val="00924A24"/>
    <w:rsid w:val="00924F03"/>
    <w:rsid w:val="00925F51"/>
    <w:rsid w:val="009265F7"/>
    <w:rsid w:val="009269F0"/>
    <w:rsid w:val="0093199C"/>
    <w:rsid w:val="0093312F"/>
    <w:rsid w:val="009343F5"/>
    <w:rsid w:val="0093562C"/>
    <w:rsid w:val="00941144"/>
    <w:rsid w:val="00946B24"/>
    <w:rsid w:val="00952BC2"/>
    <w:rsid w:val="00954E4E"/>
    <w:rsid w:val="00956153"/>
    <w:rsid w:val="00956FB3"/>
    <w:rsid w:val="00960E3D"/>
    <w:rsid w:val="00961D71"/>
    <w:rsid w:val="00963CB6"/>
    <w:rsid w:val="00963FF6"/>
    <w:rsid w:val="00964E1A"/>
    <w:rsid w:val="00967E35"/>
    <w:rsid w:val="0097137C"/>
    <w:rsid w:val="009757B2"/>
    <w:rsid w:val="00977610"/>
    <w:rsid w:val="0098005D"/>
    <w:rsid w:val="0098046E"/>
    <w:rsid w:val="00981F86"/>
    <w:rsid w:val="00982283"/>
    <w:rsid w:val="00982CA6"/>
    <w:rsid w:val="00987F83"/>
    <w:rsid w:val="0099256A"/>
    <w:rsid w:val="0099438F"/>
    <w:rsid w:val="00997477"/>
    <w:rsid w:val="009A0EBF"/>
    <w:rsid w:val="009A14CF"/>
    <w:rsid w:val="009B0CEA"/>
    <w:rsid w:val="009B1473"/>
    <w:rsid w:val="009B1DA4"/>
    <w:rsid w:val="009B1DB9"/>
    <w:rsid w:val="009B2937"/>
    <w:rsid w:val="009B3A0D"/>
    <w:rsid w:val="009B4969"/>
    <w:rsid w:val="009B536D"/>
    <w:rsid w:val="009B67C8"/>
    <w:rsid w:val="009C129E"/>
    <w:rsid w:val="009C63E7"/>
    <w:rsid w:val="009D0789"/>
    <w:rsid w:val="009D2690"/>
    <w:rsid w:val="009D4539"/>
    <w:rsid w:val="009D6B6C"/>
    <w:rsid w:val="009D7BFB"/>
    <w:rsid w:val="009D7E89"/>
    <w:rsid w:val="009E1014"/>
    <w:rsid w:val="009E22EC"/>
    <w:rsid w:val="009E25A3"/>
    <w:rsid w:val="009F193E"/>
    <w:rsid w:val="009F2B35"/>
    <w:rsid w:val="009F483E"/>
    <w:rsid w:val="00A04F1C"/>
    <w:rsid w:val="00A06059"/>
    <w:rsid w:val="00A0679C"/>
    <w:rsid w:val="00A07015"/>
    <w:rsid w:val="00A11E09"/>
    <w:rsid w:val="00A12DF1"/>
    <w:rsid w:val="00A16775"/>
    <w:rsid w:val="00A23212"/>
    <w:rsid w:val="00A2586D"/>
    <w:rsid w:val="00A279A2"/>
    <w:rsid w:val="00A27E03"/>
    <w:rsid w:val="00A3159A"/>
    <w:rsid w:val="00A32980"/>
    <w:rsid w:val="00A3328D"/>
    <w:rsid w:val="00A33396"/>
    <w:rsid w:val="00A3350D"/>
    <w:rsid w:val="00A35386"/>
    <w:rsid w:val="00A35476"/>
    <w:rsid w:val="00A37EFB"/>
    <w:rsid w:val="00A40200"/>
    <w:rsid w:val="00A4101D"/>
    <w:rsid w:val="00A41645"/>
    <w:rsid w:val="00A416CC"/>
    <w:rsid w:val="00A429CE"/>
    <w:rsid w:val="00A44401"/>
    <w:rsid w:val="00A45699"/>
    <w:rsid w:val="00A46D8F"/>
    <w:rsid w:val="00A46E90"/>
    <w:rsid w:val="00A47783"/>
    <w:rsid w:val="00A47A51"/>
    <w:rsid w:val="00A47B05"/>
    <w:rsid w:val="00A47EFF"/>
    <w:rsid w:val="00A50AC7"/>
    <w:rsid w:val="00A512EC"/>
    <w:rsid w:val="00A53FF1"/>
    <w:rsid w:val="00A542E1"/>
    <w:rsid w:val="00A54DB3"/>
    <w:rsid w:val="00A55893"/>
    <w:rsid w:val="00A6460E"/>
    <w:rsid w:val="00A64C83"/>
    <w:rsid w:val="00A66455"/>
    <w:rsid w:val="00A705E3"/>
    <w:rsid w:val="00A76EA4"/>
    <w:rsid w:val="00A80FE0"/>
    <w:rsid w:val="00A83BB9"/>
    <w:rsid w:val="00A87471"/>
    <w:rsid w:val="00A8766E"/>
    <w:rsid w:val="00A90677"/>
    <w:rsid w:val="00A90867"/>
    <w:rsid w:val="00A92705"/>
    <w:rsid w:val="00A944AD"/>
    <w:rsid w:val="00A94DC4"/>
    <w:rsid w:val="00A950AA"/>
    <w:rsid w:val="00AA0CCF"/>
    <w:rsid w:val="00AA1D21"/>
    <w:rsid w:val="00AA1F25"/>
    <w:rsid w:val="00AA27D5"/>
    <w:rsid w:val="00AA2C5C"/>
    <w:rsid w:val="00AA64A5"/>
    <w:rsid w:val="00AB0893"/>
    <w:rsid w:val="00AB0FE5"/>
    <w:rsid w:val="00AB1E03"/>
    <w:rsid w:val="00AB5AE3"/>
    <w:rsid w:val="00AB6ED0"/>
    <w:rsid w:val="00AB7629"/>
    <w:rsid w:val="00AB7A5D"/>
    <w:rsid w:val="00AC001F"/>
    <w:rsid w:val="00AC0839"/>
    <w:rsid w:val="00AC1C3B"/>
    <w:rsid w:val="00AC1EBD"/>
    <w:rsid w:val="00AC53ED"/>
    <w:rsid w:val="00AC65B8"/>
    <w:rsid w:val="00AD0C63"/>
    <w:rsid w:val="00AD2D02"/>
    <w:rsid w:val="00AD2D3D"/>
    <w:rsid w:val="00AD637D"/>
    <w:rsid w:val="00AD6DB5"/>
    <w:rsid w:val="00AD7031"/>
    <w:rsid w:val="00AE0850"/>
    <w:rsid w:val="00AE1EE2"/>
    <w:rsid w:val="00AE2F52"/>
    <w:rsid w:val="00AE4788"/>
    <w:rsid w:val="00AE5DD3"/>
    <w:rsid w:val="00AE763A"/>
    <w:rsid w:val="00AE7E8E"/>
    <w:rsid w:val="00AF06C3"/>
    <w:rsid w:val="00AF164F"/>
    <w:rsid w:val="00AF7223"/>
    <w:rsid w:val="00AF7FAD"/>
    <w:rsid w:val="00B001EE"/>
    <w:rsid w:val="00B0085D"/>
    <w:rsid w:val="00B012C7"/>
    <w:rsid w:val="00B026DF"/>
    <w:rsid w:val="00B03131"/>
    <w:rsid w:val="00B03F4B"/>
    <w:rsid w:val="00B05A48"/>
    <w:rsid w:val="00B11274"/>
    <w:rsid w:val="00B141A1"/>
    <w:rsid w:val="00B156B9"/>
    <w:rsid w:val="00B22019"/>
    <w:rsid w:val="00B242B9"/>
    <w:rsid w:val="00B25DA5"/>
    <w:rsid w:val="00B31BAC"/>
    <w:rsid w:val="00B31E55"/>
    <w:rsid w:val="00B34E6E"/>
    <w:rsid w:val="00B3694D"/>
    <w:rsid w:val="00B41966"/>
    <w:rsid w:val="00B421E9"/>
    <w:rsid w:val="00B42D3A"/>
    <w:rsid w:val="00B430BD"/>
    <w:rsid w:val="00B435F9"/>
    <w:rsid w:val="00B43AE3"/>
    <w:rsid w:val="00B444A9"/>
    <w:rsid w:val="00B46FEF"/>
    <w:rsid w:val="00B47249"/>
    <w:rsid w:val="00B5066B"/>
    <w:rsid w:val="00B509A3"/>
    <w:rsid w:val="00B51AAF"/>
    <w:rsid w:val="00B51EC3"/>
    <w:rsid w:val="00B52D4A"/>
    <w:rsid w:val="00B54047"/>
    <w:rsid w:val="00B5439A"/>
    <w:rsid w:val="00B548DA"/>
    <w:rsid w:val="00B5680F"/>
    <w:rsid w:val="00B57235"/>
    <w:rsid w:val="00B61741"/>
    <w:rsid w:val="00B618C5"/>
    <w:rsid w:val="00B63237"/>
    <w:rsid w:val="00B6614E"/>
    <w:rsid w:val="00B673D5"/>
    <w:rsid w:val="00B7043D"/>
    <w:rsid w:val="00B721CE"/>
    <w:rsid w:val="00B76E4D"/>
    <w:rsid w:val="00B7735B"/>
    <w:rsid w:val="00B80B26"/>
    <w:rsid w:val="00B812D3"/>
    <w:rsid w:val="00B85B0F"/>
    <w:rsid w:val="00B85B40"/>
    <w:rsid w:val="00B91EF8"/>
    <w:rsid w:val="00B92021"/>
    <w:rsid w:val="00B92898"/>
    <w:rsid w:val="00B9349E"/>
    <w:rsid w:val="00B95786"/>
    <w:rsid w:val="00B96D13"/>
    <w:rsid w:val="00B96F6E"/>
    <w:rsid w:val="00BA3B02"/>
    <w:rsid w:val="00BA3CE9"/>
    <w:rsid w:val="00BA4514"/>
    <w:rsid w:val="00BA512C"/>
    <w:rsid w:val="00BA5A3F"/>
    <w:rsid w:val="00BA5FA0"/>
    <w:rsid w:val="00BA68B5"/>
    <w:rsid w:val="00BA76B7"/>
    <w:rsid w:val="00BA7E48"/>
    <w:rsid w:val="00BB18ED"/>
    <w:rsid w:val="00BB2510"/>
    <w:rsid w:val="00BB3BB2"/>
    <w:rsid w:val="00BB6056"/>
    <w:rsid w:val="00BB6689"/>
    <w:rsid w:val="00BB6A84"/>
    <w:rsid w:val="00BB7CAF"/>
    <w:rsid w:val="00BB7E36"/>
    <w:rsid w:val="00BC7218"/>
    <w:rsid w:val="00BC7CB6"/>
    <w:rsid w:val="00BD522E"/>
    <w:rsid w:val="00BD56B2"/>
    <w:rsid w:val="00BD7D73"/>
    <w:rsid w:val="00BE07A9"/>
    <w:rsid w:val="00BE532A"/>
    <w:rsid w:val="00BE58A1"/>
    <w:rsid w:val="00BE7525"/>
    <w:rsid w:val="00BF1246"/>
    <w:rsid w:val="00BF1A55"/>
    <w:rsid w:val="00BF2707"/>
    <w:rsid w:val="00BF2AAA"/>
    <w:rsid w:val="00BF30D8"/>
    <w:rsid w:val="00BF36CC"/>
    <w:rsid w:val="00BF7119"/>
    <w:rsid w:val="00BF7DDD"/>
    <w:rsid w:val="00C0000E"/>
    <w:rsid w:val="00C00312"/>
    <w:rsid w:val="00C0298B"/>
    <w:rsid w:val="00C03332"/>
    <w:rsid w:val="00C06218"/>
    <w:rsid w:val="00C1050F"/>
    <w:rsid w:val="00C11F0B"/>
    <w:rsid w:val="00C202B7"/>
    <w:rsid w:val="00C22083"/>
    <w:rsid w:val="00C22DD2"/>
    <w:rsid w:val="00C24E22"/>
    <w:rsid w:val="00C25EEA"/>
    <w:rsid w:val="00C274DB"/>
    <w:rsid w:val="00C31465"/>
    <w:rsid w:val="00C32825"/>
    <w:rsid w:val="00C34333"/>
    <w:rsid w:val="00C3448F"/>
    <w:rsid w:val="00C3797B"/>
    <w:rsid w:val="00C44652"/>
    <w:rsid w:val="00C44F1C"/>
    <w:rsid w:val="00C50181"/>
    <w:rsid w:val="00C50304"/>
    <w:rsid w:val="00C505B7"/>
    <w:rsid w:val="00C516DE"/>
    <w:rsid w:val="00C539B1"/>
    <w:rsid w:val="00C5449F"/>
    <w:rsid w:val="00C5450B"/>
    <w:rsid w:val="00C6005A"/>
    <w:rsid w:val="00C65A09"/>
    <w:rsid w:val="00C668C9"/>
    <w:rsid w:val="00C7086C"/>
    <w:rsid w:val="00C71703"/>
    <w:rsid w:val="00C75C70"/>
    <w:rsid w:val="00C76F5C"/>
    <w:rsid w:val="00C77943"/>
    <w:rsid w:val="00C8078E"/>
    <w:rsid w:val="00C80801"/>
    <w:rsid w:val="00C82D1F"/>
    <w:rsid w:val="00C83469"/>
    <w:rsid w:val="00C84346"/>
    <w:rsid w:val="00C85585"/>
    <w:rsid w:val="00C86CDE"/>
    <w:rsid w:val="00C90FD0"/>
    <w:rsid w:val="00C95401"/>
    <w:rsid w:val="00CA169A"/>
    <w:rsid w:val="00CA3C01"/>
    <w:rsid w:val="00CA3EA0"/>
    <w:rsid w:val="00CA43B1"/>
    <w:rsid w:val="00CA5D9D"/>
    <w:rsid w:val="00CA7510"/>
    <w:rsid w:val="00CB49E0"/>
    <w:rsid w:val="00CB4DA0"/>
    <w:rsid w:val="00CB53EA"/>
    <w:rsid w:val="00CB6AEF"/>
    <w:rsid w:val="00CB6C45"/>
    <w:rsid w:val="00CB6E04"/>
    <w:rsid w:val="00CC0532"/>
    <w:rsid w:val="00CD2E61"/>
    <w:rsid w:val="00CD316D"/>
    <w:rsid w:val="00CD381F"/>
    <w:rsid w:val="00CE022E"/>
    <w:rsid w:val="00CE171A"/>
    <w:rsid w:val="00CE1A08"/>
    <w:rsid w:val="00CE1FAC"/>
    <w:rsid w:val="00CE2AB3"/>
    <w:rsid w:val="00CE2B38"/>
    <w:rsid w:val="00CE48E3"/>
    <w:rsid w:val="00CF0306"/>
    <w:rsid w:val="00CF0791"/>
    <w:rsid w:val="00CF1D8F"/>
    <w:rsid w:val="00CF225E"/>
    <w:rsid w:val="00CF60AE"/>
    <w:rsid w:val="00CF74DE"/>
    <w:rsid w:val="00D0323F"/>
    <w:rsid w:val="00D03282"/>
    <w:rsid w:val="00D0388C"/>
    <w:rsid w:val="00D041FD"/>
    <w:rsid w:val="00D042A9"/>
    <w:rsid w:val="00D05BA6"/>
    <w:rsid w:val="00D07699"/>
    <w:rsid w:val="00D100FF"/>
    <w:rsid w:val="00D136F2"/>
    <w:rsid w:val="00D13B5F"/>
    <w:rsid w:val="00D1491D"/>
    <w:rsid w:val="00D14ACA"/>
    <w:rsid w:val="00D156C4"/>
    <w:rsid w:val="00D166C2"/>
    <w:rsid w:val="00D1722E"/>
    <w:rsid w:val="00D17B05"/>
    <w:rsid w:val="00D21A1F"/>
    <w:rsid w:val="00D26894"/>
    <w:rsid w:val="00D30006"/>
    <w:rsid w:val="00D324A7"/>
    <w:rsid w:val="00D35AE8"/>
    <w:rsid w:val="00D360B1"/>
    <w:rsid w:val="00D36CC1"/>
    <w:rsid w:val="00D36FD9"/>
    <w:rsid w:val="00D40EA0"/>
    <w:rsid w:val="00D4292C"/>
    <w:rsid w:val="00D44866"/>
    <w:rsid w:val="00D46B53"/>
    <w:rsid w:val="00D50AE7"/>
    <w:rsid w:val="00D52618"/>
    <w:rsid w:val="00D56D2C"/>
    <w:rsid w:val="00D61D19"/>
    <w:rsid w:val="00D660DF"/>
    <w:rsid w:val="00D669EC"/>
    <w:rsid w:val="00D67A55"/>
    <w:rsid w:val="00D7085C"/>
    <w:rsid w:val="00D717ED"/>
    <w:rsid w:val="00D73806"/>
    <w:rsid w:val="00D73A50"/>
    <w:rsid w:val="00D745AA"/>
    <w:rsid w:val="00D76FE0"/>
    <w:rsid w:val="00D7721C"/>
    <w:rsid w:val="00D77AD7"/>
    <w:rsid w:val="00D80C27"/>
    <w:rsid w:val="00D81398"/>
    <w:rsid w:val="00D82C9F"/>
    <w:rsid w:val="00D83594"/>
    <w:rsid w:val="00D84F6B"/>
    <w:rsid w:val="00D85306"/>
    <w:rsid w:val="00D87DE4"/>
    <w:rsid w:val="00D900EC"/>
    <w:rsid w:val="00D9239C"/>
    <w:rsid w:val="00D95F96"/>
    <w:rsid w:val="00D9720C"/>
    <w:rsid w:val="00DA1045"/>
    <w:rsid w:val="00DA206D"/>
    <w:rsid w:val="00DA282F"/>
    <w:rsid w:val="00DA36FB"/>
    <w:rsid w:val="00DA5DB0"/>
    <w:rsid w:val="00DA5E38"/>
    <w:rsid w:val="00DA5F31"/>
    <w:rsid w:val="00DA7EF6"/>
    <w:rsid w:val="00DA7F78"/>
    <w:rsid w:val="00DB1227"/>
    <w:rsid w:val="00DB1A70"/>
    <w:rsid w:val="00DB321C"/>
    <w:rsid w:val="00DB5F72"/>
    <w:rsid w:val="00DB6AEC"/>
    <w:rsid w:val="00DB74B9"/>
    <w:rsid w:val="00DC0AB7"/>
    <w:rsid w:val="00DC1991"/>
    <w:rsid w:val="00DC2560"/>
    <w:rsid w:val="00DC2A74"/>
    <w:rsid w:val="00DC2B6A"/>
    <w:rsid w:val="00DC4C9E"/>
    <w:rsid w:val="00DD0AA5"/>
    <w:rsid w:val="00DD17DA"/>
    <w:rsid w:val="00DD450E"/>
    <w:rsid w:val="00DD57E2"/>
    <w:rsid w:val="00DD5939"/>
    <w:rsid w:val="00DD6E28"/>
    <w:rsid w:val="00DE0669"/>
    <w:rsid w:val="00DE136B"/>
    <w:rsid w:val="00DE34E6"/>
    <w:rsid w:val="00DE5399"/>
    <w:rsid w:val="00DE5AA9"/>
    <w:rsid w:val="00DE6187"/>
    <w:rsid w:val="00DF3541"/>
    <w:rsid w:val="00DF56C7"/>
    <w:rsid w:val="00DF5877"/>
    <w:rsid w:val="00DF71BA"/>
    <w:rsid w:val="00E01911"/>
    <w:rsid w:val="00E03957"/>
    <w:rsid w:val="00E04DFB"/>
    <w:rsid w:val="00E05628"/>
    <w:rsid w:val="00E056DC"/>
    <w:rsid w:val="00E060AC"/>
    <w:rsid w:val="00E061E8"/>
    <w:rsid w:val="00E11661"/>
    <w:rsid w:val="00E1247B"/>
    <w:rsid w:val="00E1306E"/>
    <w:rsid w:val="00E13AF1"/>
    <w:rsid w:val="00E140C4"/>
    <w:rsid w:val="00E14EAF"/>
    <w:rsid w:val="00E172CC"/>
    <w:rsid w:val="00E20864"/>
    <w:rsid w:val="00E22D58"/>
    <w:rsid w:val="00E2480D"/>
    <w:rsid w:val="00E26228"/>
    <w:rsid w:val="00E263AE"/>
    <w:rsid w:val="00E26605"/>
    <w:rsid w:val="00E27451"/>
    <w:rsid w:val="00E311F0"/>
    <w:rsid w:val="00E31D15"/>
    <w:rsid w:val="00E32A23"/>
    <w:rsid w:val="00E32F3A"/>
    <w:rsid w:val="00E33D49"/>
    <w:rsid w:val="00E35CF9"/>
    <w:rsid w:val="00E42E3F"/>
    <w:rsid w:val="00E44EA6"/>
    <w:rsid w:val="00E4635F"/>
    <w:rsid w:val="00E50236"/>
    <w:rsid w:val="00E51236"/>
    <w:rsid w:val="00E518C1"/>
    <w:rsid w:val="00E536CE"/>
    <w:rsid w:val="00E54872"/>
    <w:rsid w:val="00E54A73"/>
    <w:rsid w:val="00E55B70"/>
    <w:rsid w:val="00E55D60"/>
    <w:rsid w:val="00E56EC1"/>
    <w:rsid w:val="00E64636"/>
    <w:rsid w:val="00E64EAE"/>
    <w:rsid w:val="00E65740"/>
    <w:rsid w:val="00E659AE"/>
    <w:rsid w:val="00E65E19"/>
    <w:rsid w:val="00E66D4A"/>
    <w:rsid w:val="00E71DF8"/>
    <w:rsid w:val="00E72565"/>
    <w:rsid w:val="00E725DD"/>
    <w:rsid w:val="00E73637"/>
    <w:rsid w:val="00E776A1"/>
    <w:rsid w:val="00E81D43"/>
    <w:rsid w:val="00E820AC"/>
    <w:rsid w:val="00E821EC"/>
    <w:rsid w:val="00E834C9"/>
    <w:rsid w:val="00E863E4"/>
    <w:rsid w:val="00E863F2"/>
    <w:rsid w:val="00E86603"/>
    <w:rsid w:val="00E92544"/>
    <w:rsid w:val="00E92F58"/>
    <w:rsid w:val="00E935EB"/>
    <w:rsid w:val="00E94B31"/>
    <w:rsid w:val="00E95C81"/>
    <w:rsid w:val="00E97141"/>
    <w:rsid w:val="00E97BDF"/>
    <w:rsid w:val="00EA1164"/>
    <w:rsid w:val="00EA27F8"/>
    <w:rsid w:val="00EA28CF"/>
    <w:rsid w:val="00EA49BC"/>
    <w:rsid w:val="00EA6C85"/>
    <w:rsid w:val="00EA7107"/>
    <w:rsid w:val="00EB089A"/>
    <w:rsid w:val="00EB1138"/>
    <w:rsid w:val="00EB1A3F"/>
    <w:rsid w:val="00EB5123"/>
    <w:rsid w:val="00EB69F5"/>
    <w:rsid w:val="00EC034C"/>
    <w:rsid w:val="00EC13C4"/>
    <w:rsid w:val="00EC17FA"/>
    <w:rsid w:val="00EC2E08"/>
    <w:rsid w:val="00EC55FD"/>
    <w:rsid w:val="00EC6EAF"/>
    <w:rsid w:val="00EC766C"/>
    <w:rsid w:val="00ED0C99"/>
    <w:rsid w:val="00ED2896"/>
    <w:rsid w:val="00ED5D7C"/>
    <w:rsid w:val="00ED7B74"/>
    <w:rsid w:val="00EE04D9"/>
    <w:rsid w:val="00EE1D2C"/>
    <w:rsid w:val="00EE233D"/>
    <w:rsid w:val="00EE420B"/>
    <w:rsid w:val="00EE4F62"/>
    <w:rsid w:val="00EE6FA2"/>
    <w:rsid w:val="00EF0420"/>
    <w:rsid w:val="00EF2572"/>
    <w:rsid w:val="00EF55A6"/>
    <w:rsid w:val="00EF763B"/>
    <w:rsid w:val="00F00AD3"/>
    <w:rsid w:val="00F04898"/>
    <w:rsid w:val="00F04CBB"/>
    <w:rsid w:val="00F10AE1"/>
    <w:rsid w:val="00F13C05"/>
    <w:rsid w:val="00F140BC"/>
    <w:rsid w:val="00F1706E"/>
    <w:rsid w:val="00F21743"/>
    <w:rsid w:val="00F23180"/>
    <w:rsid w:val="00F23D99"/>
    <w:rsid w:val="00F2521E"/>
    <w:rsid w:val="00F25AB0"/>
    <w:rsid w:val="00F31681"/>
    <w:rsid w:val="00F33FB0"/>
    <w:rsid w:val="00F379D9"/>
    <w:rsid w:val="00F37C44"/>
    <w:rsid w:val="00F4026A"/>
    <w:rsid w:val="00F43434"/>
    <w:rsid w:val="00F4373C"/>
    <w:rsid w:val="00F44574"/>
    <w:rsid w:val="00F45266"/>
    <w:rsid w:val="00F45267"/>
    <w:rsid w:val="00F45F18"/>
    <w:rsid w:val="00F465A8"/>
    <w:rsid w:val="00F46DF8"/>
    <w:rsid w:val="00F4755B"/>
    <w:rsid w:val="00F50CD2"/>
    <w:rsid w:val="00F51700"/>
    <w:rsid w:val="00F52B24"/>
    <w:rsid w:val="00F5351D"/>
    <w:rsid w:val="00F5598E"/>
    <w:rsid w:val="00F55A57"/>
    <w:rsid w:val="00F56A04"/>
    <w:rsid w:val="00F56F7F"/>
    <w:rsid w:val="00F572A9"/>
    <w:rsid w:val="00F57690"/>
    <w:rsid w:val="00F607C9"/>
    <w:rsid w:val="00F619D9"/>
    <w:rsid w:val="00F649A1"/>
    <w:rsid w:val="00F64CD9"/>
    <w:rsid w:val="00F65BE7"/>
    <w:rsid w:val="00F65CBB"/>
    <w:rsid w:val="00F66D49"/>
    <w:rsid w:val="00F671B2"/>
    <w:rsid w:val="00F67C9C"/>
    <w:rsid w:val="00F73503"/>
    <w:rsid w:val="00F743F6"/>
    <w:rsid w:val="00F7480E"/>
    <w:rsid w:val="00F74B4F"/>
    <w:rsid w:val="00F804C1"/>
    <w:rsid w:val="00F80A0D"/>
    <w:rsid w:val="00F80FD6"/>
    <w:rsid w:val="00F816AC"/>
    <w:rsid w:val="00F83391"/>
    <w:rsid w:val="00F83A7C"/>
    <w:rsid w:val="00F852D6"/>
    <w:rsid w:val="00F86755"/>
    <w:rsid w:val="00F87CCA"/>
    <w:rsid w:val="00F923BD"/>
    <w:rsid w:val="00F92468"/>
    <w:rsid w:val="00F926C1"/>
    <w:rsid w:val="00F928B5"/>
    <w:rsid w:val="00F93472"/>
    <w:rsid w:val="00F94647"/>
    <w:rsid w:val="00FA2718"/>
    <w:rsid w:val="00FA31BA"/>
    <w:rsid w:val="00FA34B9"/>
    <w:rsid w:val="00FA5998"/>
    <w:rsid w:val="00FA6FD0"/>
    <w:rsid w:val="00FA7672"/>
    <w:rsid w:val="00FA7A24"/>
    <w:rsid w:val="00FB3EB2"/>
    <w:rsid w:val="00FB5B85"/>
    <w:rsid w:val="00FB67E5"/>
    <w:rsid w:val="00FC1590"/>
    <w:rsid w:val="00FC2E98"/>
    <w:rsid w:val="00FC3314"/>
    <w:rsid w:val="00FC389D"/>
    <w:rsid w:val="00FD101D"/>
    <w:rsid w:val="00FD1312"/>
    <w:rsid w:val="00FD2ACB"/>
    <w:rsid w:val="00FD2BB8"/>
    <w:rsid w:val="00FD38BE"/>
    <w:rsid w:val="00FD4A4D"/>
    <w:rsid w:val="00FD6AD8"/>
    <w:rsid w:val="00FE149C"/>
    <w:rsid w:val="00FE1599"/>
    <w:rsid w:val="00FE43E8"/>
    <w:rsid w:val="00FE5C41"/>
    <w:rsid w:val="00FE7199"/>
    <w:rsid w:val="00FF7DBD"/>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 w:type="paragraph" w:customStyle="1" w:styleId="pboth">
    <w:name w:val="pboth"/>
    <w:basedOn w:val="a0"/>
    <w:rsid w:val="0076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Основной текст 31"/>
    <w:basedOn w:val="a0"/>
    <w:rsid w:val="000A085D"/>
    <w:pPr>
      <w:suppressAutoHyphens/>
      <w:spacing w:after="120" w:line="240" w:lineRule="auto"/>
    </w:pPr>
    <w:rPr>
      <w:rFonts w:ascii="Times New Roman" w:eastAsia="Times New Roman" w:hAnsi="Times New Roman" w:cs="Times New Roman"/>
      <w:sz w:val="16"/>
      <w:szCs w:val="16"/>
      <w:lang w:eastAsia="ar-SA"/>
    </w:rPr>
  </w:style>
  <w:style w:type="table" w:customStyle="1" w:styleId="101">
    <w:name w:val="Сетка таблицы10"/>
    <w:basedOn w:val="a2"/>
    <w:next w:val="afa"/>
    <w:uiPriority w:val="59"/>
    <w:rsid w:val="0010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a"/>
    <w:uiPriority w:val="59"/>
    <w:rsid w:val="00C5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для таблиц из договоров"/>
    <w:basedOn w:val="a0"/>
    <w:rsid w:val="00A950AA"/>
    <w:pPr>
      <w:spacing w:after="0" w:line="240" w:lineRule="auto"/>
    </w:pPr>
    <w:rPr>
      <w:rFonts w:ascii="Times New Roman" w:eastAsia="Times New Roman" w:hAnsi="Times New Roman" w:cs="Times New Roman"/>
      <w:sz w:val="24"/>
      <w:szCs w:val="20"/>
      <w:lang w:eastAsia="ru-RU"/>
    </w:rPr>
  </w:style>
  <w:style w:type="table" w:customStyle="1" w:styleId="1010">
    <w:name w:val="Сетка таблицы101"/>
    <w:basedOn w:val="a2"/>
    <w:next w:val="afa"/>
    <w:uiPriority w:val="59"/>
    <w:rsid w:val="0042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a"/>
    <w:uiPriority w:val="59"/>
    <w:rsid w:val="00DF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a"/>
    <w:uiPriority w:val="59"/>
    <w:rsid w:val="00DF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4A5"/>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uiPriority w:val="99"/>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uiPriority w:val="99"/>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5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2"/>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6E224C"/>
    <w:pPr>
      <w:spacing w:after="100"/>
      <w:ind w:left="440"/>
    </w:pPr>
  </w:style>
  <w:style w:type="character" w:customStyle="1" w:styleId="apple-converted-space">
    <w:name w:val="apple-converted-space"/>
    <w:basedOn w:val="a1"/>
    <w:rsid w:val="00084AB2"/>
  </w:style>
  <w:style w:type="numbering" w:customStyle="1" w:styleId="8">
    <w:name w:val="Нет списка8"/>
    <w:next w:val="a3"/>
    <w:uiPriority w:val="99"/>
    <w:semiHidden/>
    <w:unhideWhenUsed/>
    <w:rsid w:val="00E01911"/>
  </w:style>
  <w:style w:type="table" w:customStyle="1" w:styleId="64">
    <w:name w:val="Сетка таблицы6"/>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E01911"/>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b">
    <w:name w:val="Обычный3"/>
    <w:rsid w:val="00E01911"/>
    <w:rPr>
      <w:rFonts w:ascii="Times New Roman" w:eastAsia="Times New Roman" w:hAnsi="Times New Roman" w:cs="Times New Roman"/>
      <w:lang w:eastAsia="ru-RU"/>
    </w:rPr>
  </w:style>
  <w:style w:type="numbering" w:customStyle="1" w:styleId="93">
    <w:name w:val="Нет списка9"/>
    <w:next w:val="a3"/>
    <w:uiPriority w:val="99"/>
    <w:semiHidden/>
    <w:unhideWhenUsed/>
    <w:rsid w:val="00E01911"/>
  </w:style>
  <w:style w:type="table" w:customStyle="1" w:styleId="72">
    <w:name w:val="Сетка таблицы7"/>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E01911"/>
  </w:style>
  <w:style w:type="paragraph" w:customStyle="1" w:styleId="221">
    <w:name w:val="Знак2 Знак Знак2"/>
    <w:basedOn w:val="a0"/>
    <w:rsid w:val="00E01911"/>
    <w:pPr>
      <w:spacing w:before="100" w:beforeAutospacing="1" w:after="100" w:afterAutospacing="1" w:line="240" w:lineRule="auto"/>
    </w:pPr>
    <w:rPr>
      <w:rFonts w:ascii="Tahoma" w:eastAsia="Times New Roman" w:hAnsi="Tahoma" w:cs="Times New Roman"/>
      <w:sz w:val="20"/>
      <w:szCs w:val="20"/>
      <w:lang w:val="en-US"/>
    </w:rPr>
  </w:style>
  <w:style w:type="table" w:customStyle="1" w:styleId="80">
    <w:name w:val="Сетка таблицы8"/>
    <w:basedOn w:val="a2"/>
    <w:next w:val="afa"/>
    <w:rsid w:val="00E01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110">
    <w:name w:val="Знак2 Знак Знак1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0">
    <w:name w:val="Знак Знак4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510">
    <w:name w:val="Знак Знак5 Знак Знак1"/>
    <w:basedOn w:val="a0"/>
    <w:rsid w:val="00E01911"/>
    <w:pPr>
      <w:spacing w:after="160" w:line="240" w:lineRule="exact"/>
    </w:pPr>
    <w:rPr>
      <w:rFonts w:ascii="Verdana" w:eastAsia="Times New Roman" w:hAnsi="Verdana" w:cs="Verdana"/>
      <w:sz w:val="20"/>
      <w:szCs w:val="20"/>
      <w:lang w:val="en-US"/>
    </w:rPr>
  </w:style>
  <w:style w:type="paragraph" w:customStyle="1" w:styleId="411">
    <w:name w:val="Знак Знак4 Знак Знак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2f0">
    <w:name w:val="Знак Знак Знак Знак2"/>
    <w:basedOn w:val="a0"/>
    <w:rsid w:val="00E01911"/>
    <w:pPr>
      <w:spacing w:after="0" w:line="240" w:lineRule="auto"/>
    </w:pPr>
    <w:rPr>
      <w:rFonts w:ascii="Times New Roman" w:eastAsia="Times New Roman" w:hAnsi="Times New Roman" w:cs="Times New Roman"/>
      <w:sz w:val="28"/>
      <w:szCs w:val="20"/>
      <w:lang w:eastAsia="ru-RU"/>
    </w:rPr>
  </w:style>
  <w:style w:type="paragraph" w:customStyle="1" w:styleId="412">
    <w:name w:val="Знак Знак4 Знак Знак Знак Знак1"/>
    <w:basedOn w:val="a0"/>
    <w:rsid w:val="00E01911"/>
    <w:pPr>
      <w:spacing w:after="0" w:line="240" w:lineRule="auto"/>
    </w:pPr>
    <w:rPr>
      <w:rFonts w:ascii="Times New Roman" w:eastAsia="Times New Roman" w:hAnsi="Times New Roman" w:cs="Times New Roman"/>
      <w:sz w:val="28"/>
      <w:szCs w:val="20"/>
      <w:lang w:eastAsia="ru-RU"/>
    </w:rPr>
  </w:style>
  <w:style w:type="table" w:customStyle="1" w:styleId="130">
    <w:name w:val="Сетка таблицы13"/>
    <w:basedOn w:val="a2"/>
    <w:next w:val="afa"/>
    <w:uiPriority w:val="59"/>
    <w:rsid w:val="00E019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E01911"/>
  </w:style>
  <w:style w:type="numbering" w:customStyle="1" w:styleId="131">
    <w:name w:val="Нет списка13"/>
    <w:next w:val="a3"/>
    <w:uiPriority w:val="99"/>
    <w:semiHidden/>
    <w:unhideWhenUsed/>
    <w:rsid w:val="00AF7FAD"/>
  </w:style>
  <w:style w:type="table" w:customStyle="1" w:styleId="94">
    <w:name w:val="Сетка таблицы9"/>
    <w:basedOn w:val="a2"/>
    <w:next w:val="afa"/>
    <w:uiPriority w:val="59"/>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a"/>
    <w:rsid w:val="00AF7F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99"/>
    <w:rsid w:val="00330760"/>
    <w:pPr>
      <w:spacing w:after="0" w:line="240" w:lineRule="auto"/>
    </w:pPr>
    <w:rPr>
      <w:rFonts w:ascii="Calibri" w:eastAsia="Times New Roman" w:hAnsi="Calibri" w:cs="Calibri"/>
    </w:rPr>
  </w:style>
  <w:style w:type="paragraph" w:customStyle="1" w:styleId="pboth">
    <w:name w:val="pboth"/>
    <w:basedOn w:val="a0"/>
    <w:rsid w:val="00763A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Основной текст 31"/>
    <w:basedOn w:val="a0"/>
    <w:rsid w:val="000A085D"/>
    <w:pPr>
      <w:suppressAutoHyphens/>
      <w:spacing w:after="120" w:line="240" w:lineRule="auto"/>
    </w:pPr>
    <w:rPr>
      <w:rFonts w:ascii="Times New Roman" w:eastAsia="Times New Roman" w:hAnsi="Times New Roman" w:cs="Times New Roman"/>
      <w:sz w:val="16"/>
      <w:szCs w:val="16"/>
      <w:lang w:eastAsia="ar-SA"/>
    </w:rPr>
  </w:style>
  <w:style w:type="table" w:customStyle="1" w:styleId="101">
    <w:name w:val="Сетка таблицы10"/>
    <w:basedOn w:val="a2"/>
    <w:next w:val="afa"/>
    <w:uiPriority w:val="59"/>
    <w:rsid w:val="0010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a"/>
    <w:uiPriority w:val="59"/>
    <w:rsid w:val="00C5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для таблиц из договоров"/>
    <w:basedOn w:val="a0"/>
    <w:rsid w:val="00A950AA"/>
    <w:pPr>
      <w:spacing w:after="0" w:line="240" w:lineRule="auto"/>
    </w:pPr>
    <w:rPr>
      <w:rFonts w:ascii="Times New Roman" w:eastAsia="Times New Roman" w:hAnsi="Times New Roman" w:cs="Times New Roman"/>
      <w:sz w:val="24"/>
      <w:szCs w:val="20"/>
      <w:lang w:eastAsia="ru-RU"/>
    </w:rPr>
  </w:style>
  <w:style w:type="table" w:customStyle="1" w:styleId="1010">
    <w:name w:val="Сетка таблицы101"/>
    <w:basedOn w:val="a2"/>
    <w:next w:val="afa"/>
    <w:uiPriority w:val="59"/>
    <w:rsid w:val="0042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a"/>
    <w:uiPriority w:val="59"/>
    <w:rsid w:val="00DF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a"/>
    <w:uiPriority w:val="59"/>
    <w:rsid w:val="00DF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986">
      <w:bodyDiv w:val="1"/>
      <w:marLeft w:val="0"/>
      <w:marRight w:val="0"/>
      <w:marTop w:val="0"/>
      <w:marBottom w:val="0"/>
      <w:divBdr>
        <w:top w:val="none" w:sz="0" w:space="0" w:color="auto"/>
        <w:left w:val="none" w:sz="0" w:space="0" w:color="auto"/>
        <w:bottom w:val="none" w:sz="0" w:space="0" w:color="auto"/>
        <w:right w:val="none" w:sz="0" w:space="0" w:color="auto"/>
      </w:divBdr>
    </w:div>
    <w:div w:id="127552025">
      <w:bodyDiv w:val="1"/>
      <w:marLeft w:val="0"/>
      <w:marRight w:val="0"/>
      <w:marTop w:val="0"/>
      <w:marBottom w:val="0"/>
      <w:divBdr>
        <w:top w:val="none" w:sz="0" w:space="0" w:color="auto"/>
        <w:left w:val="none" w:sz="0" w:space="0" w:color="auto"/>
        <w:bottom w:val="none" w:sz="0" w:space="0" w:color="auto"/>
        <w:right w:val="none" w:sz="0" w:space="0" w:color="auto"/>
      </w:divBdr>
    </w:div>
    <w:div w:id="139925928">
      <w:bodyDiv w:val="1"/>
      <w:marLeft w:val="0"/>
      <w:marRight w:val="0"/>
      <w:marTop w:val="0"/>
      <w:marBottom w:val="0"/>
      <w:divBdr>
        <w:top w:val="none" w:sz="0" w:space="0" w:color="auto"/>
        <w:left w:val="none" w:sz="0" w:space="0" w:color="auto"/>
        <w:bottom w:val="none" w:sz="0" w:space="0" w:color="auto"/>
        <w:right w:val="none" w:sz="0" w:space="0" w:color="auto"/>
      </w:divBdr>
    </w:div>
    <w:div w:id="362437692">
      <w:bodyDiv w:val="1"/>
      <w:marLeft w:val="0"/>
      <w:marRight w:val="0"/>
      <w:marTop w:val="0"/>
      <w:marBottom w:val="0"/>
      <w:divBdr>
        <w:top w:val="none" w:sz="0" w:space="0" w:color="auto"/>
        <w:left w:val="none" w:sz="0" w:space="0" w:color="auto"/>
        <w:bottom w:val="none" w:sz="0" w:space="0" w:color="auto"/>
        <w:right w:val="none" w:sz="0" w:space="0" w:color="auto"/>
      </w:divBdr>
    </w:div>
    <w:div w:id="371926433">
      <w:bodyDiv w:val="1"/>
      <w:marLeft w:val="0"/>
      <w:marRight w:val="0"/>
      <w:marTop w:val="0"/>
      <w:marBottom w:val="0"/>
      <w:divBdr>
        <w:top w:val="none" w:sz="0" w:space="0" w:color="auto"/>
        <w:left w:val="none" w:sz="0" w:space="0" w:color="auto"/>
        <w:bottom w:val="none" w:sz="0" w:space="0" w:color="auto"/>
        <w:right w:val="none" w:sz="0" w:space="0" w:color="auto"/>
      </w:divBdr>
    </w:div>
    <w:div w:id="404694092">
      <w:bodyDiv w:val="1"/>
      <w:marLeft w:val="0"/>
      <w:marRight w:val="0"/>
      <w:marTop w:val="0"/>
      <w:marBottom w:val="0"/>
      <w:divBdr>
        <w:top w:val="none" w:sz="0" w:space="0" w:color="auto"/>
        <w:left w:val="none" w:sz="0" w:space="0" w:color="auto"/>
        <w:bottom w:val="none" w:sz="0" w:space="0" w:color="auto"/>
        <w:right w:val="none" w:sz="0" w:space="0" w:color="auto"/>
      </w:divBdr>
    </w:div>
    <w:div w:id="445194253">
      <w:bodyDiv w:val="1"/>
      <w:marLeft w:val="0"/>
      <w:marRight w:val="0"/>
      <w:marTop w:val="0"/>
      <w:marBottom w:val="0"/>
      <w:divBdr>
        <w:top w:val="none" w:sz="0" w:space="0" w:color="auto"/>
        <w:left w:val="none" w:sz="0" w:space="0" w:color="auto"/>
        <w:bottom w:val="none" w:sz="0" w:space="0" w:color="auto"/>
        <w:right w:val="none" w:sz="0" w:space="0" w:color="auto"/>
      </w:divBdr>
    </w:div>
    <w:div w:id="505947810">
      <w:bodyDiv w:val="1"/>
      <w:marLeft w:val="0"/>
      <w:marRight w:val="0"/>
      <w:marTop w:val="0"/>
      <w:marBottom w:val="0"/>
      <w:divBdr>
        <w:top w:val="none" w:sz="0" w:space="0" w:color="auto"/>
        <w:left w:val="none" w:sz="0" w:space="0" w:color="auto"/>
        <w:bottom w:val="none" w:sz="0" w:space="0" w:color="auto"/>
        <w:right w:val="none" w:sz="0" w:space="0" w:color="auto"/>
      </w:divBdr>
    </w:div>
    <w:div w:id="523254140">
      <w:bodyDiv w:val="1"/>
      <w:marLeft w:val="0"/>
      <w:marRight w:val="0"/>
      <w:marTop w:val="0"/>
      <w:marBottom w:val="0"/>
      <w:divBdr>
        <w:top w:val="none" w:sz="0" w:space="0" w:color="auto"/>
        <w:left w:val="none" w:sz="0" w:space="0" w:color="auto"/>
        <w:bottom w:val="none" w:sz="0" w:space="0" w:color="auto"/>
        <w:right w:val="none" w:sz="0" w:space="0" w:color="auto"/>
      </w:divBdr>
    </w:div>
    <w:div w:id="630132691">
      <w:bodyDiv w:val="1"/>
      <w:marLeft w:val="0"/>
      <w:marRight w:val="0"/>
      <w:marTop w:val="0"/>
      <w:marBottom w:val="0"/>
      <w:divBdr>
        <w:top w:val="none" w:sz="0" w:space="0" w:color="auto"/>
        <w:left w:val="none" w:sz="0" w:space="0" w:color="auto"/>
        <w:bottom w:val="none" w:sz="0" w:space="0" w:color="auto"/>
        <w:right w:val="none" w:sz="0" w:space="0" w:color="auto"/>
      </w:divBdr>
    </w:div>
    <w:div w:id="649676148">
      <w:bodyDiv w:val="1"/>
      <w:marLeft w:val="0"/>
      <w:marRight w:val="0"/>
      <w:marTop w:val="0"/>
      <w:marBottom w:val="0"/>
      <w:divBdr>
        <w:top w:val="none" w:sz="0" w:space="0" w:color="auto"/>
        <w:left w:val="none" w:sz="0" w:space="0" w:color="auto"/>
        <w:bottom w:val="none" w:sz="0" w:space="0" w:color="auto"/>
        <w:right w:val="none" w:sz="0" w:space="0" w:color="auto"/>
      </w:divBdr>
    </w:div>
    <w:div w:id="661394341">
      <w:bodyDiv w:val="1"/>
      <w:marLeft w:val="0"/>
      <w:marRight w:val="0"/>
      <w:marTop w:val="0"/>
      <w:marBottom w:val="0"/>
      <w:divBdr>
        <w:top w:val="none" w:sz="0" w:space="0" w:color="auto"/>
        <w:left w:val="none" w:sz="0" w:space="0" w:color="auto"/>
        <w:bottom w:val="none" w:sz="0" w:space="0" w:color="auto"/>
        <w:right w:val="none" w:sz="0" w:space="0" w:color="auto"/>
      </w:divBdr>
    </w:div>
    <w:div w:id="777717934">
      <w:bodyDiv w:val="1"/>
      <w:marLeft w:val="0"/>
      <w:marRight w:val="0"/>
      <w:marTop w:val="0"/>
      <w:marBottom w:val="0"/>
      <w:divBdr>
        <w:top w:val="none" w:sz="0" w:space="0" w:color="auto"/>
        <w:left w:val="none" w:sz="0" w:space="0" w:color="auto"/>
        <w:bottom w:val="none" w:sz="0" w:space="0" w:color="auto"/>
        <w:right w:val="none" w:sz="0" w:space="0" w:color="auto"/>
      </w:divBdr>
    </w:div>
    <w:div w:id="839976307">
      <w:bodyDiv w:val="1"/>
      <w:marLeft w:val="0"/>
      <w:marRight w:val="0"/>
      <w:marTop w:val="0"/>
      <w:marBottom w:val="0"/>
      <w:divBdr>
        <w:top w:val="none" w:sz="0" w:space="0" w:color="auto"/>
        <w:left w:val="none" w:sz="0" w:space="0" w:color="auto"/>
        <w:bottom w:val="none" w:sz="0" w:space="0" w:color="auto"/>
        <w:right w:val="none" w:sz="0" w:space="0" w:color="auto"/>
      </w:divBdr>
    </w:div>
    <w:div w:id="891309015">
      <w:bodyDiv w:val="1"/>
      <w:marLeft w:val="0"/>
      <w:marRight w:val="0"/>
      <w:marTop w:val="0"/>
      <w:marBottom w:val="0"/>
      <w:divBdr>
        <w:top w:val="none" w:sz="0" w:space="0" w:color="auto"/>
        <w:left w:val="none" w:sz="0" w:space="0" w:color="auto"/>
        <w:bottom w:val="none" w:sz="0" w:space="0" w:color="auto"/>
        <w:right w:val="none" w:sz="0" w:space="0" w:color="auto"/>
      </w:divBdr>
    </w:div>
    <w:div w:id="947001808">
      <w:bodyDiv w:val="1"/>
      <w:marLeft w:val="0"/>
      <w:marRight w:val="0"/>
      <w:marTop w:val="0"/>
      <w:marBottom w:val="0"/>
      <w:divBdr>
        <w:top w:val="none" w:sz="0" w:space="0" w:color="auto"/>
        <w:left w:val="none" w:sz="0" w:space="0" w:color="auto"/>
        <w:bottom w:val="none" w:sz="0" w:space="0" w:color="auto"/>
        <w:right w:val="none" w:sz="0" w:space="0" w:color="auto"/>
      </w:divBdr>
    </w:div>
    <w:div w:id="973948237">
      <w:bodyDiv w:val="1"/>
      <w:marLeft w:val="0"/>
      <w:marRight w:val="0"/>
      <w:marTop w:val="0"/>
      <w:marBottom w:val="0"/>
      <w:divBdr>
        <w:top w:val="none" w:sz="0" w:space="0" w:color="auto"/>
        <w:left w:val="none" w:sz="0" w:space="0" w:color="auto"/>
        <w:bottom w:val="none" w:sz="0" w:space="0" w:color="auto"/>
        <w:right w:val="none" w:sz="0" w:space="0" w:color="auto"/>
      </w:divBdr>
    </w:div>
    <w:div w:id="1009482546">
      <w:bodyDiv w:val="1"/>
      <w:marLeft w:val="0"/>
      <w:marRight w:val="0"/>
      <w:marTop w:val="0"/>
      <w:marBottom w:val="0"/>
      <w:divBdr>
        <w:top w:val="none" w:sz="0" w:space="0" w:color="auto"/>
        <w:left w:val="none" w:sz="0" w:space="0" w:color="auto"/>
        <w:bottom w:val="none" w:sz="0" w:space="0" w:color="auto"/>
        <w:right w:val="none" w:sz="0" w:space="0" w:color="auto"/>
      </w:divBdr>
    </w:div>
    <w:div w:id="1120148718">
      <w:bodyDiv w:val="1"/>
      <w:marLeft w:val="0"/>
      <w:marRight w:val="0"/>
      <w:marTop w:val="0"/>
      <w:marBottom w:val="0"/>
      <w:divBdr>
        <w:top w:val="none" w:sz="0" w:space="0" w:color="auto"/>
        <w:left w:val="none" w:sz="0" w:space="0" w:color="auto"/>
        <w:bottom w:val="none" w:sz="0" w:space="0" w:color="auto"/>
        <w:right w:val="none" w:sz="0" w:space="0" w:color="auto"/>
      </w:divBdr>
    </w:div>
    <w:div w:id="1182822417">
      <w:bodyDiv w:val="1"/>
      <w:marLeft w:val="0"/>
      <w:marRight w:val="0"/>
      <w:marTop w:val="0"/>
      <w:marBottom w:val="0"/>
      <w:divBdr>
        <w:top w:val="none" w:sz="0" w:space="0" w:color="auto"/>
        <w:left w:val="none" w:sz="0" w:space="0" w:color="auto"/>
        <w:bottom w:val="none" w:sz="0" w:space="0" w:color="auto"/>
        <w:right w:val="none" w:sz="0" w:space="0" w:color="auto"/>
      </w:divBdr>
    </w:div>
    <w:div w:id="1243298888">
      <w:bodyDiv w:val="1"/>
      <w:marLeft w:val="0"/>
      <w:marRight w:val="0"/>
      <w:marTop w:val="0"/>
      <w:marBottom w:val="0"/>
      <w:divBdr>
        <w:top w:val="none" w:sz="0" w:space="0" w:color="auto"/>
        <w:left w:val="none" w:sz="0" w:space="0" w:color="auto"/>
        <w:bottom w:val="none" w:sz="0" w:space="0" w:color="auto"/>
        <w:right w:val="none" w:sz="0" w:space="0" w:color="auto"/>
      </w:divBdr>
    </w:div>
    <w:div w:id="1261330224">
      <w:bodyDiv w:val="1"/>
      <w:marLeft w:val="0"/>
      <w:marRight w:val="0"/>
      <w:marTop w:val="0"/>
      <w:marBottom w:val="0"/>
      <w:divBdr>
        <w:top w:val="none" w:sz="0" w:space="0" w:color="auto"/>
        <w:left w:val="none" w:sz="0" w:space="0" w:color="auto"/>
        <w:bottom w:val="none" w:sz="0" w:space="0" w:color="auto"/>
        <w:right w:val="none" w:sz="0" w:space="0" w:color="auto"/>
      </w:divBdr>
    </w:div>
    <w:div w:id="1350374292">
      <w:bodyDiv w:val="1"/>
      <w:marLeft w:val="0"/>
      <w:marRight w:val="0"/>
      <w:marTop w:val="0"/>
      <w:marBottom w:val="0"/>
      <w:divBdr>
        <w:top w:val="none" w:sz="0" w:space="0" w:color="auto"/>
        <w:left w:val="none" w:sz="0" w:space="0" w:color="auto"/>
        <w:bottom w:val="none" w:sz="0" w:space="0" w:color="auto"/>
        <w:right w:val="none" w:sz="0" w:space="0" w:color="auto"/>
      </w:divBdr>
    </w:div>
    <w:div w:id="1355495143">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248780">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03148564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sChild>
    </w:div>
    <w:div w:id="1441486441">
      <w:bodyDiv w:val="1"/>
      <w:marLeft w:val="0"/>
      <w:marRight w:val="0"/>
      <w:marTop w:val="0"/>
      <w:marBottom w:val="0"/>
      <w:divBdr>
        <w:top w:val="none" w:sz="0" w:space="0" w:color="auto"/>
        <w:left w:val="none" w:sz="0" w:space="0" w:color="auto"/>
        <w:bottom w:val="none" w:sz="0" w:space="0" w:color="auto"/>
        <w:right w:val="none" w:sz="0" w:space="0" w:color="auto"/>
      </w:divBdr>
    </w:div>
    <w:div w:id="1474448939">
      <w:bodyDiv w:val="1"/>
      <w:marLeft w:val="0"/>
      <w:marRight w:val="0"/>
      <w:marTop w:val="0"/>
      <w:marBottom w:val="0"/>
      <w:divBdr>
        <w:top w:val="none" w:sz="0" w:space="0" w:color="auto"/>
        <w:left w:val="none" w:sz="0" w:space="0" w:color="auto"/>
        <w:bottom w:val="none" w:sz="0" w:space="0" w:color="auto"/>
        <w:right w:val="none" w:sz="0" w:space="0" w:color="auto"/>
      </w:divBdr>
    </w:div>
    <w:div w:id="1566994006">
      <w:bodyDiv w:val="1"/>
      <w:marLeft w:val="0"/>
      <w:marRight w:val="0"/>
      <w:marTop w:val="0"/>
      <w:marBottom w:val="0"/>
      <w:divBdr>
        <w:top w:val="none" w:sz="0" w:space="0" w:color="auto"/>
        <w:left w:val="none" w:sz="0" w:space="0" w:color="auto"/>
        <w:bottom w:val="none" w:sz="0" w:space="0" w:color="auto"/>
        <w:right w:val="none" w:sz="0" w:space="0" w:color="auto"/>
      </w:divBdr>
    </w:div>
    <w:div w:id="1586495845">
      <w:bodyDiv w:val="1"/>
      <w:marLeft w:val="0"/>
      <w:marRight w:val="0"/>
      <w:marTop w:val="0"/>
      <w:marBottom w:val="0"/>
      <w:divBdr>
        <w:top w:val="none" w:sz="0" w:space="0" w:color="auto"/>
        <w:left w:val="none" w:sz="0" w:space="0" w:color="auto"/>
        <w:bottom w:val="none" w:sz="0" w:space="0" w:color="auto"/>
        <w:right w:val="none" w:sz="0" w:space="0" w:color="auto"/>
      </w:divBdr>
    </w:div>
    <w:div w:id="1825705991">
      <w:bodyDiv w:val="1"/>
      <w:marLeft w:val="0"/>
      <w:marRight w:val="0"/>
      <w:marTop w:val="0"/>
      <w:marBottom w:val="0"/>
      <w:divBdr>
        <w:top w:val="none" w:sz="0" w:space="0" w:color="auto"/>
        <w:left w:val="none" w:sz="0" w:space="0" w:color="auto"/>
        <w:bottom w:val="none" w:sz="0" w:space="0" w:color="auto"/>
        <w:right w:val="none" w:sz="0" w:space="0" w:color="auto"/>
      </w:divBdr>
    </w:div>
    <w:div w:id="1827623528">
      <w:bodyDiv w:val="1"/>
      <w:marLeft w:val="0"/>
      <w:marRight w:val="0"/>
      <w:marTop w:val="0"/>
      <w:marBottom w:val="0"/>
      <w:divBdr>
        <w:top w:val="none" w:sz="0" w:space="0" w:color="auto"/>
        <w:left w:val="none" w:sz="0" w:space="0" w:color="auto"/>
        <w:bottom w:val="none" w:sz="0" w:space="0" w:color="auto"/>
        <w:right w:val="none" w:sz="0" w:space="0" w:color="auto"/>
      </w:divBdr>
    </w:div>
    <w:div w:id="1955019793">
      <w:bodyDiv w:val="1"/>
      <w:marLeft w:val="0"/>
      <w:marRight w:val="0"/>
      <w:marTop w:val="0"/>
      <w:marBottom w:val="0"/>
      <w:divBdr>
        <w:top w:val="none" w:sz="0" w:space="0" w:color="auto"/>
        <w:left w:val="none" w:sz="0" w:space="0" w:color="auto"/>
        <w:bottom w:val="none" w:sz="0" w:space="0" w:color="auto"/>
        <w:right w:val="none" w:sz="0" w:space="0" w:color="auto"/>
      </w:divBdr>
    </w:div>
    <w:div w:id="2021270668">
      <w:bodyDiv w:val="1"/>
      <w:marLeft w:val="0"/>
      <w:marRight w:val="0"/>
      <w:marTop w:val="0"/>
      <w:marBottom w:val="0"/>
      <w:divBdr>
        <w:top w:val="none" w:sz="0" w:space="0" w:color="auto"/>
        <w:left w:val="none" w:sz="0" w:space="0" w:color="auto"/>
        <w:bottom w:val="none" w:sz="0" w:space="0" w:color="auto"/>
        <w:right w:val="none" w:sz="0" w:space="0" w:color="auto"/>
      </w:divBdr>
    </w:div>
    <w:div w:id="21052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6E051552D9B0DE54C4F9BC72146B52D8FEBDF87EE298EC0BEAE4S5VBG" TargetMode="Externa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chart" Target="charts/chart21.xml"/><Relationship Id="rId5" Type="http://schemas.openxmlformats.org/officeDocument/2006/relationships/settings" Target="settings.xml"/><Relationship Id="rId15" Type="http://schemas.openxmlformats.org/officeDocument/2006/relationships/hyperlink" Target="consultantplus://offline/ref=296E051552D9B0DE54C4F9BC72146B52D8FEBDF87EE298EC0BEAE4S5VBG" TargetMode="Externa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consultantplus://offline/ref=296E051552D9B0DE54C4F9BC72146B52D8FEBDF87EE298EC0BEAE4S5VBG" TargetMode="Externa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latin typeface="Times New Roman" panose="02020603050405020304" pitchFamily="18" charset="0"/>
                <a:cs typeface="Times New Roman" panose="02020603050405020304" pitchFamily="18" charset="0"/>
              </a:rPr>
              <a:t>Распределение ОПО по классам опасности </a:t>
            </a:r>
          </a:p>
          <a:p>
            <a:pPr>
              <a:defRPr sz="1600"/>
            </a:pPr>
            <a:r>
              <a:rPr lang="ru-RU" sz="1600">
                <a:latin typeface="Times New Roman" panose="02020603050405020304" pitchFamily="18" charset="0"/>
                <a:cs typeface="Times New Roman" panose="02020603050405020304" pitchFamily="18" charset="0"/>
              </a:rPr>
              <a:t>(всего 1129)</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1128)</c:v>
                </c:pt>
              </c:strCache>
            </c:strRef>
          </c:tx>
          <c:explosion val="10"/>
          <c:dPt>
            <c:idx val="0"/>
            <c:bubble3D val="0"/>
          </c:dPt>
          <c:dPt>
            <c:idx val="1"/>
            <c:bubble3D val="0"/>
          </c:dPt>
          <c:dPt>
            <c:idx val="2"/>
            <c:bubble3D val="0"/>
          </c:dPt>
          <c:dPt>
            <c:idx val="3"/>
            <c:bubble3D val="0"/>
          </c:dPt>
          <c:dLbls>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27</c:v>
                </c:pt>
                <c:pt idx="1">
                  <c:v>61</c:v>
                </c:pt>
                <c:pt idx="2">
                  <c:v>670</c:v>
                </c:pt>
                <c:pt idx="3">
                  <c:v>370</c:v>
                </c:pt>
              </c:numCache>
            </c:numRef>
          </c:val>
        </c:ser>
        <c:dLbls>
          <c:showLegendKey val="0"/>
          <c:showVal val="0"/>
          <c:showCatName val="0"/>
          <c:showSerName val="0"/>
          <c:showPercent val="0"/>
          <c:showBubbleSize val="0"/>
          <c:showLeaderLines val="1"/>
        </c:dLbls>
      </c:pie3DChart>
      <c:spPr>
        <a:noFill/>
        <a:ln w="25390">
          <a:noFill/>
        </a:ln>
      </c:spPr>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7655629139072847"/>
          <c:y val="0.44444444444444442"/>
          <c:w val="0.21589403973509935"/>
          <c:h val="0.3138888888888888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323)</c:v>
                </c:pt>
              </c:strCache>
            </c:strRef>
          </c:tx>
          <c:explosion val="25"/>
          <c:cat>
            <c:strRef>
              <c:f>Лист1!$A$2:$A$5</c:f>
              <c:strCache>
                <c:ptCount val="4"/>
                <c:pt idx="0">
                  <c:v>I класс опасности (23 ОПО)</c:v>
                </c:pt>
                <c:pt idx="1">
                  <c:v>II класс опасности (24 ОПО)</c:v>
                </c:pt>
                <c:pt idx="2">
                  <c:v>III класс опасности (219 ОПО)</c:v>
                </c:pt>
                <c:pt idx="3">
                  <c:v>IV класс опасности (57 ОПО)</c:v>
                </c:pt>
              </c:strCache>
            </c:strRef>
          </c:cat>
          <c:val>
            <c:numRef>
              <c:f>Лист1!$B$2:$B$5</c:f>
              <c:numCache>
                <c:formatCode>General</c:formatCode>
                <c:ptCount val="4"/>
                <c:pt idx="0">
                  <c:v>23</c:v>
                </c:pt>
                <c:pt idx="1">
                  <c:v>24</c:v>
                </c:pt>
                <c:pt idx="2">
                  <c:v>219</c:v>
                </c:pt>
                <c:pt idx="3">
                  <c:v>57</c:v>
                </c:pt>
              </c:numCache>
            </c:numRef>
          </c:val>
          <c:extLst xmlns:c16r2="http://schemas.microsoft.com/office/drawing/2015/06/chart">
            <c:ext xmlns:c16="http://schemas.microsoft.com/office/drawing/2014/chart" uri="{C3380CC4-5D6E-409C-BE32-E72D297353CC}">
              <c16:uniqueId val="{00000000-5DF7-4D19-8515-F2F1A5412998}"/>
            </c:ext>
          </c:extLst>
        </c:ser>
        <c:dLbls>
          <c:showLegendKey val="0"/>
          <c:showVal val="0"/>
          <c:showCatName val="0"/>
          <c:showSerName val="0"/>
          <c:showPercent val="0"/>
          <c:showBubbleSize val="0"/>
          <c:showLeaderLines val="1"/>
        </c:dLbls>
      </c:pie3DChart>
    </c:plotArea>
    <c:legend>
      <c:legendPos val="r"/>
      <c:layout>
        <c:manualLayout>
          <c:xMode val="edge"/>
          <c:yMode val="edge"/>
          <c:x val="0.68965146755710616"/>
          <c:y val="0.45020436376750617"/>
          <c:w val="0.2976751697390701"/>
          <c:h val="0.30688261976651032"/>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24366546008763573"/>
          <c:w val="0.63979000316760803"/>
          <c:h val="0.71442179462754807"/>
        </c:manualLayout>
      </c:layout>
      <c:pie3DChart>
        <c:varyColors val="1"/>
        <c:ser>
          <c:idx val="0"/>
          <c:order val="0"/>
          <c:tx>
            <c:strRef>
              <c:f>Лист1!$B$1</c:f>
              <c:strCache>
                <c:ptCount val="1"/>
                <c:pt idx="0">
                  <c:v>Распределение ОПО по классам опасности (всего 42)</c:v>
                </c:pt>
              </c:strCache>
            </c:strRef>
          </c:tx>
          <c:explosion val="25"/>
          <c:cat>
            <c:strRef>
              <c:f>Лист1!$A$2:$A$5</c:f>
              <c:strCache>
                <c:ptCount val="4"/>
                <c:pt idx="0">
                  <c:v>I класс опасности (0 ОПО)</c:v>
                </c:pt>
                <c:pt idx="1">
                  <c:v>II класс опасности (1 ОПО)</c:v>
                </c:pt>
                <c:pt idx="2">
                  <c:v>III класс опасности (35 ОПО)</c:v>
                </c:pt>
                <c:pt idx="3">
                  <c:v>IV класс опасности (6 ОПО)</c:v>
                </c:pt>
              </c:strCache>
            </c:strRef>
          </c:cat>
          <c:val>
            <c:numRef>
              <c:f>Лист1!$B$2:$B$5</c:f>
              <c:numCache>
                <c:formatCode>General</c:formatCode>
                <c:ptCount val="4"/>
                <c:pt idx="0">
                  <c:v>0</c:v>
                </c:pt>
                <c:pt idx="1">
                  <c:v>1</c:v>
                </c:pt>
                <c:pt idx="2">
                  <c:v>35</c:v>
                </c:pt>
                <c:pt idx="3">
                  <c:v>6</c:v>
                </c:pt>
              </c:numCache>
            </c:numRef>
          </c:val>
          <c:extLst xmlns:c16r2="http://schemas.microsoft.com/office/drawing/2015/06/chart">
            <c:ext xmlns:c16="http://schemas.microsoft.com/office/drawing/2014/chart" uri="{C3380CC4-5D6E-409C-BE32-E72D297353CC}">
              <c16:uniqueId val="{00000000-5DF7-4D19-8515-F2F1A541299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latin typeface="Times New Roman" panose="02020603050405020304" pitchFamily="18" charset="0"/>
                <a:cs typeface="Times New Roman" panose="02020603050405020304" pitchFamily="18" charset="0"/>
              </a:rPr>
              <a:t>Распределение ОПО по классам опасности </a:t>
            </a:r>
          </a:p>
          <a:p>
            <a:pPr>
              <a:defRPr sz="1600"/>
            </a:pPr>
            <a:r>
              <a:rPr lang="ru-RU" sz="1600">
                <a:latin typeface="Times New Roman" panose="02020603050405020304" pitchFamily="18" charset="0"/>
                <a:cs typeface="Times New Roman" panose="02020603050405020304" pitchFamily="18" charset="0"/>
              </a:rPr>
              <a:t>(всего 36)</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45)</c:v>
                </c:pt>
              </c:strCache>
            </c:strRef>
          </c:tx>
          <c:dPt>
            <c:idx val="0"/>
            <c:bubble3D val="0"/>
            <c:spPr>
              <a:solidFill>
                <a:srgbClr val="00B050"/>
              </a:solidFill>
            </c:spPr>
          </c:dPt>
          <c:dPt>
            <c:idx val="1"/>
            <c:bubble3D val="0"/>
            <c:spPr>
              <a:solidFill>
                <a:srgbClr val="FFC000"/>
              </a:solidFill>
            </c:spPr>
          </c:dPt>
          <c:dPt>
            <c:idx val="2"/>
            <c:bubble3D val="0"/>
            <c:spPr>
              <a:solidFill>
                <a:srgbClr val="4BACC6">
                  <a:lumMod val="75000"/>
                </a:srgbClr>
              </a:solidFill>
            </c:spPr>
          </c:dPt>
          <c:dLbls>
            <c:dLbl>
              <c:idx val="0"/>
              <c:delete val="1"/>
            </c:dLbl>
            <c:showLegendKey val="0"/>
            <c:showVal val="1"/>
            <c:showCatName val="0"/>
            <c:showSerName val="0"/>
            <c:showPercent val="0"/>
            <c:showBubbleSize val="0"/>
            <c:showLeaderLines val="1"/>
          </c:dLbls>
          <c:cat>
            <c:strRef>
              <c:f>Лист1!$A$2:$A$4</c:f>
              <c:strCache>
                <c:ptCount val="3"/>
                <c:pt idx="0">
                  <c:v>I класс опасности</c:v>
                </c:pt>
                <c:pt idx="1">
                  <c:v>II класс опасности</c:v>
                </c:pt>
                <c:pt idx="2">
                  <c:v>III класс опасности</c:v>
                </c:pt>
              </c:strCache>
            </c:strRef>
          </c:cat>
          <c:val>
            <c:numRef>
              <c:f>Лист1!$B$2:$B$4</c:f>
              <c:numCache>
                <c:formatCode>0%</c:formatCode>
                <c:ptCount val="3"/>
                <c:pt idx="1">
                  <c:v>6.0000000000000005E-2</c:v>
                </c:pt>
                <c:pt idx="2">
                  <c:v>0.94000000000000006</c:v>
                </c:pt>
              </c:numCache>
            </c:numRef>
          </c:val>
        </c:ser>
        <c:dLbls>
          <c:showLegendKey val="0"/>
          <c:showVal val="0"/>
          <c:showCatName val="0"/>
          <c:showSerName val="0"/>
          <c:showPercent val="0"/>
          <c:showBubbleSize val="0"/>
          <c:showLeaderLines val="1"/>
        </c:dLbls>
      </c:pie3DChart>
    </c:plotArea>
    <c:legend>
      <c:legendPos val="r"/>
      <c:legendEntry>
        <c:idx val="0"/>
        <c:delete val="1"/>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ОПО по классам опасности (всего 731)</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c:v>
                </c:pt>
              </c:strCache>
            </c:strRef>
          </c:tx>
          <c:explosion val="25"/>
          <c:cat>
            <c:strRef>
              <c:f>Лист1!$A$2:$A$5</c:f>
              <c:strCache>
                <c:ptCount val="4"/>
                <c:pt idx="0">
                  <c:v> I класс опасности (0 ОПО)</c:v>
                </c:pt>
                <c:pt idx="1">
                  <c:v>II класс опасности (0 ОПО)</c:v>
                </c:pt>
                <c:pt idx="2">
                  <c:v> III класс опасности (232 ОПО)</c:v>
                </c:pt>
                <c:pt idx="3">
                  <c:v>IV класс опасности (499 ОПО)</c:v>
                </c:pt>
              </c:strCache>
            </c:strRef>
          </c:cat>
          <c:val>
            <c:numRef>
              <c:f>Лист1!$B$2:$B$5</c:f>
              <c:numCache>
                <c:formatCode>General</c:formatCode>
                <c:ptCount val="4"/>
                <c:pt idx="0">
                  <c:v>0</c:v>
                </c:pt>
                <c:pt idx="1">
                  <c:v>0</c:v>
                </c:pt>
                <c:pt idx="2">
                  <c:v>232</c:v>
                </c:pt>
                <c:pt idx="3">
                  <c:v>499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классам опасности (всего 1256)</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по классам опасности (всего 1100)</c:v>
                </c:pt>
              </c:strCache>
            </c:strRef>
          </c:tx>
          <c:dLbls>
            <c:dLbl>
              <c:idx val="0"/>
              <c:tx>
                <c:rich>
                  <a:bodyPr/>
                  <a:lstStyle/>
                  <a:p>
                    <a:r>
                      <a:rPr lang="ru-RU"/>
                      <a:t>8</a:t>
                    </a:r>
                    <a:r>
                      <a:rPr lang="en-US"/>
                      <a:t>; </a:t>
                    </a:r>
                    <a:r>
                      <a:rPr lang="ru-RU"/>
                      <a:t>0,63</a:t>
                    </a:r>
                    <a:r>
                      <a:rPr lang="en-US"/>
                      <a:t>%</a:t>
                    </a:r>
                  </a:p>
                </c:rich>
              </c:tx>
              <c:showLegendKey val="0"/>
              <c:showVal val="1"/>
              <c:showCatName val="0"/>
              <c:showSerName val="0"/>
              <c:showPercent val="1"/>
              <c:showBubbleSize val="0"/>
            </c:dLbl>
            <c:dLbl>
              <c:idx val="1"/>
              <c:tx>
                <c:rich>
                  <a:bodyPr/>
                  <a:lstStyle/>
                  <a:p>
                    <a:r>
                      <a:rPr lang="ru-RU"/>
                      <a:t>2</a:t>
                    </a:r>
                    <a:r>
                      <a:rPr lang="en-US"/>
                      <a:t>; </a:t>
                    </a:r>
                    <a:r>
                      <a:rPr lang="ru-RU"/>
                      <a:t>0,16</a:t>
                    </a:r>
                    <a:r>
                      <a:rPr lang="en-US"/>
                      <a:t>%</a:t>
                    </a:r>
                  </a:p>
                </c:rich>
              </c:tx>
              <c:showLegendKey val="0"/>
              <c:showVal val="1"/>
              <c:showCatName val="0"/>
              <c:showSerName val="0"/>
              <c:showPercent val="1"/>
              <c:showBubbleSize val="0"/>
            </c:dLbl>
            <c:dLbl>
              <c:idx val="2"/>
              <c:tx>
                <c:rich>
                  <a:bodyPr/>
                  <a:lstStyle/>
                  <a:p>
                    <a:r>
                      <a:rPr lang="en-US"/>
                      <a:t>116</a:t>
                    </a:r>
                    <a:r>
                      <a:rPr lang="ru-RU"/>
                      <a:t>1</a:t>
                    </a:r>
                    <a:r>
                      <a:rPr lang="en-US"/>
                      <a:t>; </a:t>
                    </a:r>
                    <a:r>
                      <a:rPr lang="ru-RU"/>
                      <a:t>91</a:t>
                    </a:r>
                    <a:r>
                      <a:rPr lang="en-US"/>
                      <a:t>%</a:t>
                    </a:r>
                  </a:p>
                </c:rich>
              </c:tx>
              <c:showLegendKey val="0"/>
              <c:showVal val="1"/>
              <c:showCatName val="0"/>
              <c:showSerName val="0"/>
              <c:showPercent val="1"/>
              <c:showBubbleSize val="0"/>
            </c:dLbl>
            <c:dLbl>
              <c:idx val="3"/>
              <c:tx>
                <c:rich>
                  <a:bodyPr/>
                  <a:lstStyle/>
                  <a:p>
                    <a:r>
                      <a:rPr lang="en-US"/>
                      <a:t>10</a:t>
                    </a:r>
                    <a:r>
                      <a:rPr lang="ru-RU"/>
                      <a:t>3</a:t>
                    </a:r>
                    <a:r>
                      <a:rPr lang="en-US"/>
                      <a:t>; </a:t>
                    </a:r>
                    <a:r>
                      <a:rPr lang="ru-RU"/>
                      <a:t>8,08</a:t>
                    </a:r>
                    <a:r>
                      <a:rPr lang="en-US"/>
                      <a:t>%</a:t>
                    </a:r>
                  </a:p>
                </c:rich>
              </c:tx>
              <c:showLegendKey val="0"/>
              <c:showVal val="1"/>
              <c:showCatName val="0"/>
              <c:showSerName val="0"/>
              <c:showPercent val="1"/>
              <c:showBubbleSize val="0"/>
            </c:dLbl>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12</c:v>
                </c:pt>
                <c:pt idx="1">
                  <c:v>8</c:v>
                </c:pt>
                <c:pt idx="2">
                  <c:v>1106</c:v>
                </c:pt>
                <c:pt idx="3">
                  <c:v>130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Распределение по классам опасности (всего 4312)</a:t>
            </a:r>
          </a:p>
        </c:rich>
      </c:tx>
      <c:layout>
        <c:manualLayout>
          <c:xMode val="edge"/>
          <c:yMode val="edge"/>
          <c:x val="0.18153575360321894"/>
          <c:y val="5.530197914449883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488873749697672E-2"/>
          <c:y val="0.19399289434108477"/>
          <c:w val="0.76734876466233581"/>
          <c:h val="0.80313866085888208"/>
        </c:manualLayout>
      </c:layout>
      <c:pie3DChart>
        <c:varyColors val="1"/>
        <c:ser>
          <c:idx val="0"/>
          <c:order val="0"/>
          <c:tx>
            <c:strRef>
              <c:f>Лист1!$B$1</c:f>
              <c:strCache>
                <c:ptCount val="1"/>
                <c:pt idx="0">
                  <c:v>Распределение по классам олпасности (всего 2920)</c:v>
                </c:pt>
              </c:strCache>
            </c:strRef>
          </c:tx>
          <c:explosion val="25"/>
          <c:dLbls>
            <c:dLbl>
              <c:idx val="0"/>
              <c:layout>
                <c:manualLayout>
                  <c:x val="-4.8265460030165915E-2"/>
                  <c:y val="2.6143790849673209E-3"/>
                </c:manualLayout>
              </c:layout>
              <c:tx>
                <c:rich>
                  <a:bodyPr/>
                  <a:lstStyle/>
                  <a:p>
                    <a:r>
                      <a:rPr lang="ru-RU"/>
                      <a:t>7</a:t>
                    </a:r>
                    <a:r>
                      <a:rPr lang="en-US"/>
                      <a:t>; 0</a:t>
                    </a:r>
                    <a:r>
                      <a:rPr lang="ru-RU"/>
                      <a:t>,16</a:t>
                    </a:r>
                    <a:r>
                      <a:rPr lang="en-US"/>
                      <a:t>%</a:t>
                    </a:r>
                  </a:p>
                </c:rich>
              </c:tx>
              <c:dLblPos val="bestFit"/>
              <c:showLegendKey val="0"/>
              <c:showVal val="1"/>
              <c:showCatName val="0"/>
              <c:showSerName val="0"/>
              <c:showPercent val="1"/>
              <c:showBubbleSize val="0"/>
            </c:dLbl>
            <c:dLbl>
              <c:idx val="1"/>
              <c:tx>
                <c:rich>
                  <a:bodyPr/>
                  <a:lstStyle/>
                  <a:p>
                    <a:r>
                      <a:rPr lang="ru-RU"/>
                      <a:t>8</a:t>
                    </a:r>
                    <a:r>
                      <a:rPr lang="en-US"/>
                      <a:t>; </a:t>
                    </a:r>
                    <a:r>
                      <a:rPr lang="ru-RU"/>
                      <a:t>0,19</a:t>
                    </a:r>
                    <a:r>
                      <a:rPr lang="en-US"/>
                      <a:t>%</a:t>
                    </a:r>
                  </a:p>
                </c:rich>
              </c:tx>
              <c:dLblPos val="outEnd"/>
              <c:showLegendKey val="0"/>
              <c:showVal val="1"/>
              <c:showCatName val="0"/>
              <c:showSerName val="0"/>
              <c:showPercent val="1"/>
              <c:showBubbleSize val="0"/>
            </c:dLbl>
            <c:dLbl>
              <c:idx val="2"/>
              <c:layout>
                <c:manualLayout>
                  <c:x val="3.2176973353443945E-2"/>
                  <c:y val="0"/>
                </c:manualLayout>
              </c:layout>
              <c:tx>
                <c:rich>
                  <a:bodyPr/>
                  <a:lstStyle/>
                  <a:p>
                    <a:r>
                      <a:rPr lang="ru-RU" baseline="0"/>
                      <a:t>25, 0,57 </a:t>
                    </a:r>
                    <a:r>
                      <a:rPr lang="en-US"/>
                      <a:t>%</a:t>
                    </a:r>
                  </a:p>
                </c:rich>
              </c:tx>
              <c:dLblPos val="bestFit"/>
              <c:showLegendKey val="0"/>
              <c:showVal val="1"/>
              <c:showCatName val="0"/>
              <c:showSerName val="0"/>
              <c:showPercent val="1"/>
              <c:showBubbleSize val="0"/>
            </c:dLbl>
            <c:dLbl>
              <c:idx val="3"/>
              <c:tx>
                <c:rich>
                  <a:bodyPr/>
                  <a:lstStyle/>
                  <a:p>
                    <a:r>
                      <a:rPr lang="ru-RU"/>
                      <a:t>4272</a:t>
                    </a:r>
                    <a:r>
                      <a:rPr lang="en-US"/>
                      <a:t>; 9</a:t>
                    </a:r>
                    <a:r>
                      <a:rPr lang="ru-RU"/>
                      <a:t>9</a:t>
                    </a:r>
                    <a:r>
                      <a:rPr lang="en-US"/>
                      <a:t>%</a:t>
                    </a:r>
                  </a:p>
                </c:rich>
              </c:tx>
              <c:dLblPos val="outEnd"/>
              <c:showLegendKey val="0"/>
              <c:showVal val="1"/>
              <c:showCatName val="0"/>
              <c:showSerName val="0"/>
              <c:showPercent val="1"/>
              <c:showBubbleSize val="0"/>
            </c:dLbl>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9</c:v>
                </c:pt>
                <c:pt idx="1">
                  <c:v>20</c:v>
                </c:pt>
                <c:pt idx="2">
                  <c:v>49</c:v>
                </c:pt>
                <c:pt idx="3">
                  <c:v>2834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61068702290615E-2"/>
          <c:y val="8.17120622568097E-2"/>
          <c:w val="0.58321059265182262"/>
          <c:h val="0.79996317624476043"/>
        </c:manualLayout>
      </c:layout>
      <c:barChart>
        <c:barDir val="col"/>
        <c:grouping val="clustered"/>
        <c:varyColors val="0"/>
        <c:ser>
          <c:idx val="0"/>
          <c:order val="0"/>
          <c:tx>
            <c:strRef>
              <c:f>Sheet1!$A$2</c:f>
              <c:strCache>
                <c:ptCount val="1"/>
                <c:pt idx="0">
                  <c:v>По программе проверок</c:v>
                </c:pt>
              </c:strCache>
            </c:strRef>
          </c:tx>
          <c:spPr>
            <a:solidFill>
              <a:srgbClr val="9999FF"/>
            </a:solidFill>
            <a:ln w="12711">
              <a:solidFill>
                <a:srgbClr val="000000"/>
              </a:solidFill>
              <a:prstDash val="solid"/>
            </a:ln>
          </c:spPr>
          <c:invertIfNegative val="0"/>
          <c:cat>
            <c:strRef>
              <c:f>Sheet1!$B$1:$E$1</c:f>
              <c:strCache>
                <c:ptCount val="2"/>
                <c:pt idx="0">
                  <c:v>6 мес. 2019</c:v>
                </c:pt>
                <c:pt idx="1">
                  <c:v>6 мес. 2020</c:v>
                </c:pt>
              </c:strCache>
            </c:strRef>
          </c:cat>
          <c:val>
            <c:numRef>
              <c:f>Sheet1!$B$2:$E$2</c:f>
              <c:numCache>
                <c:formatCode>General</c:formatCode>
                <c:ptCount val="4"/>
                <c:pt idx="0">
                  <c:v>124</c:v>
                </c:pt>
                <c:pt idx="1">
                  <c:v>111</c:v>
                </c:pt>
              </c:numCache>
            </c:numRef>
          </c:val>
        </c:ser>
        <c:ser>
          <c:idx val="1"/>
          <c:order val="1"/>
          <c:tx>
            <c:strRef>
              <c:f>Sheet1!$A$3</c:f>
              <c:strCache>
                <c:ptCount val="1"/>
                <c:pt idx="0">
                  <c:v>По извещению об окончании</c:v>
                </c:pt>
              </c:strCache>
            </c:strRef>
          </c:tx>
          <c:spPr>
            <a:solidFill>
              <a:srgbClr val="993366"/>
            </a:solidFill>
            <a:ln w="12711">
              <a:solidFill>
                <a:srgbClr val="000000"/>
              </a:solidFill>
              <a:prstDash val="solid"/>
            </a:ln>
          </c:spPr>
          <c:invertIfNegative val="0"/>
          <c:cat>
            <c:strRef>
              <c:f>Sheet1!$B$1:$E$1</c:f>
              <c:strCache>
                <c:ptCount val="2"/>
                <c:pt idx="0">
                  <c:v>6 мес. 2019</c:v>
                </c:pt>
                <c:pt idx="1">
                  <c:v>6 мес. 2020</c:v>
                </c:pt>
              </c:strCache>
            </c:strRef>
          </c:cat>
          <c:val>
            <c:numRef>
              <c:f>Sheet1!$B$3:$E$3</c:f>
              <c:numCache>
                <c:formatCode>General</c:formatCode>
                <c:ptCount val="4"/>
                <c:pt idx="0">
                  <c:v>23</c:v>
                </c:pt>
                <c:pt idx="1">
                  <c:v>50</c:v>
                </c:pt>
              </c:numCache>
            </c:numRef>
          </c:val>
        </c:ser>
        <c:ser>
          <c:idx val="2"/>
          <c:order val="2"/>
          <c:tx>
            <c:strRef>
              <c:f>Sheet1!$A$4</c:f>
              <c:strCache>
                <c:ptCount val="1"/>
                <c:pt idx="0">
                  <c:v>По истечению сроков исполнения раннее выданных предписаний</c:v>
                </c:pt>
              </c:strCache>
            </c:strRef>
          </c:tx>
          <c:spPr>
            <a:solidFill>
              <a:srgbClr val="FFFFCC"/>
            </a:solidFill>
            <a:ln w="12711">
              <a:solidFill>
                <a:srgbClr val="000000"/>
              </a:solidFill>
              <a:prstDash val="solid"/>
            </a:ln>
          </c:spPr>
          <c:invertIfNegative val="0"/>
          <c:cat>
            <c:strRef>
              <c:f>Sheet1!$B$1:$E$1</c:f>
              <c:strCache>
                <c:ptCount val="2"/>
                <c:pt idx="0">
                  <c:v>6 мес. 2019</c:v>
                </c:pt>
                <c:pt idx="1">
                  <c:v>6 мес. 2020</c:v>
                </c:pt>
              </c:strCache>
            </c:strRef>
          </c:cat>
          <c:val>
            <c:numRef>
              <c:f>Sheet1!$B$4:$E$4</c:f>
              <c:numCache>
                <c:formatCode>General</c:formatCode>
                <c:ptCount val="4"/>
                <c:pt idx="0">
                  <c:v>85</c:v>
                </c:pt>
                <c:pt idx="1">
                  <c:v>78</c:v>
                </c:pt>
              </c:numCache>
            </c:numRef>
          </c:val>
        </c:ser>
        <c:ser>
          <c:idx val="3"/>
          <c:order val="3"/>
          <c:tx>
            <c:strRef>
              <c:f>Sheet1!$A$5</c:f>
              <c:strCache>
                <c:ptCount val="1"/>
              </c:strCache>
            </c:strRef>
          </c:tx>
          <c:spPr>
            <a:solidFill>
              <a:srgbClr val="CCFFFF"/>
            </a:solidFill>
            <a:ln w="12711">
              <a:solidFill>
                <a:srgbClr val="000000"/>
              </a:solidFill>
              <a:prstDash val="solid"/>
            </a:ln>
          </c:spPr>
          <c:invertIfNegative val="0"/>
          <c:cat>
            <c:strRef>
              <c:f>Sheet1!$B$1:$E$1</c:f>
              <c:strCache>
                <c:ptCount val="2"/>
                <c:pt idx="0">
                  <c:v>6 мес. 2019</c:v>
                </c:pt>
                <c:pt idx="1">
                  <c:v>6 мес. 2020</c:v>
                </c:pt>
              </c:strCache>
            </c:strRef>
          </c:cat>
          <c:val>
            <c:numRef>
              <c:f>Sheet1!$B$5:$E$5</c:f>
              <c:numCache>
                <c:formatCode>General</c:formatCode>
                <c:ptCount val="4"/>
              </c:numCache>
            </c:numRef>
          </c:val>
        </c:ser>
        <c:dLbls>
          <c:showLegendKey val="0"/>
          <c:showVal val="0"/>
          <c:showCatName val="0"/>
          <c:showSerName val="0"/>
          <c:showPercent val="0"/>
          <c:showBubbleSize val="0"/>
        </c:dLbls>
        <c:gapWidth val="150"/>
        <c:axId val="122935552"/>
        <c:axId val="151322624"/>
      </c:barChart>
      <c:catAx>
        <c:axId val="122935552"/>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51322624"/>
        <c:crosses val="autoZero"/>
        <c:auto val="1"/>
        <c:lblAlgn val="ctr"/>
        <c:lblOffset val="100"/>
        <c:tickLblSkip val="1"/>
        <c:tickMarkSkip val="1"/>
        <c:noMultiLvlLbl val="0"/>
      </c:catAx>
      <c:valAx>
        <c:axId val="151322624"/>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22935552"/>
        <c:crosses val="autoZero"/>
        <c:crossBetween val="between"/>
      </c:valAx>
      <c:spPr>
        <a:solidFill>
          <a:srgbClr val="C0C0C0"/>
        </a:solidFill>
        <a:ln w="12711">
          <a:solidFill>
            <a:srgbClr val="808080"/>
          </a:solidFill>
          <a:prstDash val="solid"/>
        </a:ln>
      </c:spPr>
    </c:plotArea>
    <c:legend>
      <c:legendPos val="r"/>
      <c:overlay val="0"/>
      <c:spPr>
        <a:noFill/>
        <a:ln w="3178">
          <a:solidFill>
            <a:srgbClr val="000000"/>
          </a:solidFill>
          <a:prstDash val="solid"/>
        </a:ln>
      </c:spPr>
      <c:txPr>
        <a:bodyPr/>
        <a:lstStyle/>
        <a:p>
          <a:pPr>
            <a:defRPr sz="10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61662817552006"/>
          <c:y val="3.9647577092511016E-2"/>
          <c:w val="0.60597826341226069"/>
          <c:h val="0.86784140969163215"/>
        </c:manualLayout>
      </c:layout>
      <c:bar3DChart>
        <c:barDir val="col"/>
        <c:grouping val="standard"/>
        <c:varyColors val="0"/>
        <c:ser>
          <c:idx val="0"/>
          <c:order val="0"/>
          <c:tx>
            <c:strRef>
              <c:f>Sheet1!$A$2</c:f>
              <c:strCache>
                <c:ptCount val="1"/>
                <c:pt idx="0">
                  <c:v>2019</c:v>
                </c:pt>
              </c:strCache>
            </c:strRef>
          </c:tx>
          <c:spPr>
            <a:solidFill>
              <a:srgbClr val="9999FF"/>
            </a:solidFill>
            <a:ln w="1271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1457</c:v>
                </c:pt>
              </c:numCache>
            </c:numRef>
          </c:val>
        </c:ser>
        <c:ser>
          <c:idx val="1"/>
          <c:order val="1"/>
          <c:tx>
            <c:strRef>
              <c:f>Sheet1!$A$3</c:f>
              <c:strCache>
                <c:ptCount val="1"/>
                <c:pt idx="0">
                  <c:v>2020</c:v>
                </c:pt>
              </c:strCache>
            </c:strRef>
          </c:tx>
          <c:spPr>
            <a:solidFill>
              <a:srgbClr val="993366"/>
            </a:solidFill>
            <a:ln w="1271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1035</c:v>
                </c:pt>
              </c:numCache>
            </c:numRef>
          </c:val>
        </c:ser>
        <c:dLbls>
          <c:showLegendKey val="0"/>
          <c:showVal val="0"/>
          <c:showCatName val="0"/>
          <c:showSerName val="0"/>
          <c:showPercent val="0"/>
          <c:showBubbleSize val="0"/>
        </c:dLbls>
        <c:gapWidth val="100"/>
        <c:gapDepth val="0"/>
        <c:shape val="pyramid"/>
        <c:axId val="151356160"/>
        <c:axId val="151357696"/>
        <c:axId val="151308480"/>
      </c:bar3DChart>
      <c:catAx>
        <c:axId val="15135616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51357696"/>
        <c:crosses val="autoZero"/>
        <c:auto val="1"/>
        <c:lblAlgn val="ctr"/>
        <c:lblOffset val="100"/>
        <c:tickLblSkip val="1"/>
        <c:tickMarkSkip val="1"/>
        <c:noMultiLvlLbl val="0"/>
      </c:catAx>
      <c:valAx>
        <c:axId val="151357696"/>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51356160"/>
        <c:crosses val="autoZero"/>
        <c:crossBetween val="between"/>
      </c:valAx>
      <c:serAx>
        <c:axId val="15130848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51357696"/>
        <c:crosses val="autoZero"/>
        <c:tickLblSkip val="1"/>
        <c:tickMarkSkip val="1"/>
      </c:serAx>
      <c:spPr>
        <a:solidFill>
          <a:srgbClr val="C0C0C0"/>
        </a:solidFill>
        <a:ln w="12710">
          <a:solidFill>
            <a:srgbClr val="808080"/>
          </a:solidFill>
          <a:prstDash val="solid"/>
        </a:ln>
      </c:spPr>
    </c:plotArea>
    <c:legend>
      <c:legendPos val="r"/>
      <c:layout>
        <c:manualLayout>
          <c:xMode val="edge"/>
          <c:yMode val="edge"/>
          <c:x val="0.87990762124711364"/>
          <c:y val="0.18025139262655471"/>
          <c:w val="0.11085450346420324"/>
          <c:h val="0.54948359303188354"/>
        </c:manualLayout>
      </c:layout>
      <c:overlay val="0"/>
      <c:spPr>
        <a:noFill/>
        <a:ln w="3178">
          <a:solidFill>
            <a:srgbClr val="000000"/>
          </a:solidFill>
          <a:prstDash val="solid"/>
        </a:ln>
      </c:spPr>
      <c:txPr>
        <a:bodyPr/>
        <a:lstStyle/>
        <a:p>
          <a:pPr>
            <a:defRPr sz="9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705989110707814E-2"/>
          <c:y val="0.22123893805309741"/>
          <c:w val="0.58983666061705786"/>
          <c:h val="0.5663716814159292"/>
        </c:manualLayout>
      </c:layout>
      <c:pie3DChart>
        <c:varyColors val="1"/>
        <c:ser>
          <c:idx val="0"/>
          <c:order val="0"/>
          <c:tx>
            <c:strRef>
              <c:f>Sheet1!$A$2</c:f>
              <c:strCache>
                <c:ptCount val="1"/>
                <c:pt idx="0">
                  <c:v>2020</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Sheet1!$B$2:$D$2</c:f>
              <c:numCache>
                <c:formatCode>General</c:formatCode>
                <c:ptCount val="3"/>
                <c:pt idx="0">
                  <c:v>16</c:v>
                </c:pt>
                <c:pt idx="1">
                  <c:v>4</c:v>
                </c:pt>
                <c:pt idx="2">
                  <c:v>28</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Sheet1!$B$4:$D$4</c:f>
              <c:numCache>
                <c:formatCode>General</c:formatCode>
                <c:ptCount val="3"/>
              </c:numCache>
            </c:numRef>
          </c:val>
        </c:ser>
        <c:dLbls>
          <c:showLegendKey val="0"/>
          <c:showVal val="0"/>
          <c:showCatName val="0"/>
          <c:showSerName val="0"/>
          <c:showPercent val="0"/>
          <c:showBubbleSize val="0"/>
          <c:showLeaderLines val="0"/>
        </c:dLbls>
      </c:pie3DChart>
      <c:spPr>
        <a:solidFill>
          <a:srgbClr val="C0C0C0"/>
        </a:solidFill>
        <a:ln w="12699">
          <a:solidFill>
            <a:srgbClr val="808080"/>
          </a:solidFill>
          <a:prstDash val="solid"/>
        </a:ln>
      </c:spPr>
    </c:plotArea>
    <c:legend>
      <c:legendPos val="r"/>
      <c:layout>
        <c:manualLayout>
          <c:xMode val="edge"/>
          <c:yMode val="edge"/>
          <c:x val="0.71143375680580767"/>
          <c:y val="0.14601769911504472"/>
          <c:w val="0.28130671506352189"/>
          <c:h val="0.7079646017699114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388888888888895E-2"/>
          <c:y val="0.10126582278481058"/>
          <c:w val="0.57465277777777779"/>
          <c:h val="0.71308016877637126"/>
        </c:manualLayout>
      </c:layout>
      <c:barChart>
        <c:barDir val="col"/>
        <c:grouping val="clustered"/>
        <c:varyColors val="0"/>
        <c:ser>
          <c:idx val="0"/>
          <c:order val="0"/>
          <c:tx>
            <c:strRef>
              <c:f>Sheet1!$B$1</c:f>
              <c:strCache>
                <c:ptCount val="1"/>
                <c:pt idx="0">
                  <c:v>Предупреждение</c:v>
                </c:pt>
              </c:strCache>
            </c:strRef>
          </c:tx>
          <c:spPr>
            <a:solidFill>
              <a:srgbClr val="9999FF"/>
            </a:solidFill>
            <a:ln w="12699">
              <a:solidFill>
                <a:srgbClr val="000000"/>
              </a:solidFill>
              <a:prstDash val="solid"/>
            </a:ln>
          </c:spPr>
          <c:invertIfNegative val="0"/>
          <c:cat>
            <c:numRef>
              <c:f>Sheet1!$A$2:$A$4</c:f>
              <c:numCache>
                <c:formatCode>General</c:formatCode>
                <c:ptCount val="3"/>
                <c:pt idx="0">
                  <c:v>2019</c:v>
                </c:pt>
                <c:pt idx="1">
                  <c:v>2019</c:v>
                </c:pt>
              </c:numCache>
            </c:numRef>
          </c:cat>
          <c:val>
            <c:numRef>
              <c:f>Sheet1!$B$2:$B$4</c:f>
              <c:numCache>
                <c:formatCode>General</c:formatCode>
                <c:ptCount val="3"/>
                <c:pt idx="0">
                  <c:v>17</c:v>
                </c:pt>
                <c:pt idx="1">
                  <c:v>16</c:v>
                </c:pt>
              </c:numCache>
            </c:numRef>
          </c:val>
        </c:ser>
        <c:ser>
          <c:idx val="1"/>
          <c:order val="1"/>
          <c:tx>
            <c:strRef>
              <c:f>Sheet1!$C$1</c:f>
              <c:strCache>
                <c:ptCount val="1"/>
                <c:pt idx="0">
                  <c:v>Административный штраф</c:v>
                </c:pt>
              </c:strCache>
            </c:strRef>
          </c:tx>
          <c:spPr>
            <a:solidFill>
              <a:srgbClr val="993366"/>
            </a:solidFill>
            <a:ln w="12699">
              <a:solidFill>
                <a:srgbClr val="000000"/>
              </a:solidFill>
              <a:prstDash val="solid"/>
            </a:ln>
          </c:spPr>
          <c:invertIfNegative val="0"/>
          <c:cat>
            <c:numRef>
              <c:f>Sheet1!$A$2:$A$4</c:f>
              <c:numCache>
                <c:formatCode>General</c:formatCode>
                <c:ptCount val="3"/>
                <c:pt idx="0">
                  <c:v>2019</c:v>
                </c:pt>
                <c:pt idx="1">
                  <c:v>2019</c:v>
                </c:pt>
              </c:numCache>
            </c:numRef>
          </c:cat>
          <c:val>
            <c:numRef>
              <c:f>Sheet1!$C$2:$C$4</c:f>
              <c:numCache>
                <c:formatCode>General</c:formatCode>
                <c:ptCount val="3"/>
                <c:pt idx="0">
                  <c:v>61</c:v>
                </c:pt>
                <c:pt idx="1">
                  <c:v>58</c:v>
                </c:pt>
              </c:numCache>
            </c:numRef>
          </c:val>
        </c:ser>
        <c:ser>
          <c:idx val="2"/>
          <c:order val="2"/>
          <c:tx>
            <c:strRef>
              <c:f>Sheet1!$D$1</c:f>
              <c:strCache>
                <c:ptCount val="1"/>
                <c:pt idx="0">
                  <c:v>ЮЛ</c:v>
                </c:pt>
              </c:strCache>
            </c:strRef>
          </c:tx>
          <c:spPr>
            <a:solidFill>
              <a:srgbClr val="FFFFCC"/>
            </a:solidFill>
            <a:ln w="12699">
              <a:solidFill>
                <a:srgbClr val="000000"/>
              </a:solidFill>
              <a:prstDash val="solid"/>
            </a:ln>
          </c:spPr>
          <c:invertIfNegative val="0"/>
          <c:cat>
            <c:numRef>
              <c:f>Sheet1!$A$2:$A$4</c:f>
              <c:numCache>
                <c:formatCode>General</c:formatCode>
                <c:ptCount val="3"/>
                <c:pt idx="0">
                  <c:v>2019</c:v>
                </c:pt>
                <c:pt idx="1">
                  <c:v>2019</c:v>
                </c:pt>
              </c:numCache>
            </c:numRef>
          </c:cat>
          <c:val>
            <c:numRef>
              <c:f>Sheet1!$D$2:$D$4</c:f>
              <c:numCache>
                <c:formatCode>General</c:formatCode>
                <c:ptCount val="3"/>
                <c:pt idx="0">
                  <c:v>53</c:v>
                </c:pt>
                <c:pt idx="1">
                  <c:v>55</c:v>
                </c:pt>
              </c:numCache>
            </c:numRef>
          </c:val>
        </c:ser>
        <c:ser>
          <c:idx val="3"/>
          <c:order val="3"/>
          <c:tx>
            <c:strRef>
              <c:f>Sheet1!$E$1</c:f>
              <c:strCache>
                <c:ptCount val="1"/>
                <c:pt idx="0">
                  <c:v>ДЛ</c:v>
                </c:pt>
              </c:strCache>
            </c:strRef>
          </c:tx>
          <c:spPr>
            <a:solidFill>
              <a:srgbClr val="CCFFFF"/>
            </a:solidFill>
            <a:ln w="12699">
              <a:solidFill>
                <a:srgbClr val="000000"/>
              </a:solidFill>
              <a:prstDash val="solid"/>
            </a:ln>
          </c:spPr>
          <c:invertIfNegative val="0"/>
          <c:cat>
            <c:numRef>
              <c:f>Sheet1!$A$2:$A$4</c:f>
              <c:numCache>
                <c:formatCode>General</c:formatCode>
                <c:ptCount val="3"/>
                <c:pt idx="0">
                  <c:v>2019</c:v>
                </c:pt>
                <c:pt idx="1">
                  <c:v>2019</c:v>
                </c:pt>
              </c:numCache>
            </c:numRef>
          </c:cat>
          <c:val>
            <c:numRef>
              <c:f>Sheet1!$E$2:$E$4</c:f>
              <c:numCache>
                <c:formatCode>General</c:formatCode>
                <c:ptCount val="3"/>
                <c:pt idx="0">
                  <c:v>8</c:v>
                </c:pt>
                <c:pt idx="1">
                  <c:v>3</c:v>
                </c:pt>
              </c:numCache>
            </c:numRef>
          </c:val>
        </c:ser>
        <c:dLbls>
          <c:showLegendKey val="0"/>
          <c:showVal val="0"/>
          <c:showCatName val="0"/>
          <c:showSerName val="0"/>
          <c:showPercent val="0"/>
          <c:showBubbleSize val="0"/>
        </c:dLbls>
        <c:gapWidth val="150"/>
        <c:axId val="151420928"/>
        <c:axId val="151422464"/>
      </c:barChart>
      <c:catAx>
        <c:axId val="151420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51422464"/>
        <c:crosses val="autoZero"/>
        <c:auto val="1"/>
        <c:lblAlgn val="ctr"/>
        <c:lblOffset val="100"/>
        <c:tickLblSkip val="1"/>
        <c:tickMarkSkip val="1"/>
        <c:noMultiLvlLbl val="0"/>
      </c:catAx>
      <c:valAx>
        <c:axId val="151422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51420928"/>
        <c:crosses val="autoZero"/>
        <c:crossBetween val="between"/>
      </c:valAx>
      <c:spPr>
        <a:solidFill>
          <a:srgbClr val="C0C0C0"/>
        </a:solidFill>
        <a:ln w="12699">
          <a:solidFill>
            <a:srgbClr val="808080"/>
          </a:solidFill>
          <a:prstDash val="solid"/>
        </a:ln>
      </c:spPr>
    </c:plotArea>
    <c:legend>
      <c:legendPos val="r"/>
      <c:layout>
        <c:manualLayout>
          <c:xMode val="edge"/>
          <c:yMode val="edge"/>
          <c:x val="0.66840277777777779"/>
          <c:y val="0.26582278481012744"/>
          <c:w val="0.32465277777777979"/>
          <c:h val="0.37552742616033757"/>
        </c:manualLayout>
      </c:layout>
      <c:overlay val="0"/>
      <c:spPr>
        <a:solidFill>
          <a:srgbClr val="FFFFFF"/>
        </a:solid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130817174199491E-2"/>
          <c:y val="2.4060309862961676E-2"/>
          <c:w val="0.65385425780110817"/>
          <c:h val="0.84993461143444027"/>
        </c:manualLayout>
      </c:layout>
      <c:barChart>
        <c:barDir val="col"/>
        <c:grouping val="clustered"/>
        <c:varyColors val="0"/>
        <c:ser>
          <c:idx val="0"/>
          <c:order val="0"/>
          <c:tx>
            <c:strRef>
              <c:f>Лист1!$B$1</c:f>
              <c:strCache>
                <c:ptCount val="1"/>
                <c:pt idx="0">
                  <c:v>Аварии</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2015</c:v>
                </c:pt>
                <c:pt idx="1">
                  <c:v>2016</c:v>
                </c:pt>
                <c:pt idx="2">
                  <c:v>2017</c:v>
                </c:pt>
                <c:pt idx="3">
                  <c:v>2018</c:v>
                </c:pt>
                <c:pt idx="4">
                  <c:v>2019</c:v>
                </c:pt>
                <c:pt idx="5">
                  <c:v>2020</c:v>
                </c:pt>
              </c:strCache>
            </c:strRef>
          </c:cat>
          <c:val>
            <c:numRef>
              <c:f>Лист1!$B$2:$B$7</c:f>
              <c:numCache>
                <c:formatCode>General</c:formatCode>
                <c:ptCount val="6"/>
                <c:pt idx="0">
                  <c:v>1</c:v>
                </c:pt>
                <c:pt idx="1">
                  <c:v>0</c:v>
                </c:pt>
                <c:pt idx="2">
                  <c:v>0</c:v>
                </c:pt>
                <c:pt idx="3">
                  <c:v>2</c:v>
                </c:pt>
                <c:pt idx="4">
                  <c:v>0</c:v>
                </c:pt>
                <c:pt idx="5">
                  <c:v>0</c:v>
                </c:pt>
              </c:numCache>
            </c:numRef>
          </c:val>
        </c:ser>
        <c:ser>
          <c:idx val="1"/>
          <c:order val="1"/>
          <c:tx>
            <c:strRef>
              <c:f>Лист1!$C$1</c:f>
              <c:strCache>
                <c:ptCount val="1"/>
                <c:pt idx="0">
                  <c:v>Смертельные случаи</c:v>
                </c:pt>
              </c:strCache>
            </c:strRef>
          </c:tx>
          <c:invertIfNegative val="0"/>
          <c:dLbls>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Лист1!$A$2:$A$7</c:f>
              <c:strCache>
                <c:ptCount val="6"/>
                <c:pt idx="0">
                  <c:v>2015</c:v>
                </c:pt>
                <c:pt idx="1">
                  <c:v>2016</c:v>
                </c:pt>
                <c:pt idx="2">
                  <c:v>2017</c:v>
                </c:pt>
                <c:pt idx="3">
                  <c:v>2018</c:v>
                </c:pt>
                <c:pt idx="4">
                  <c:v>2019</c:v>
                </c:pt>
                <c:pt idx="5">
                  <c:v>2020</c:v>
                </c:pt>
              </c:strCache>
            </c:strRef>
          </c:cat>
          <c:val>
            <c:numRef>
              <c:f>Лист1!$C$2:$C$7</c:f>
              <c:numCache>
                <c:formatCode>General</c:formatCode>
                <c:ptCount val="6"/>
                <c:pt idx="0">
                  <c:v>1</c:v>
                </c:pt>
                <c:pt idx="1">
                  <c:v>0</c:v>
                </c:pt>
                <c:pt idx="2">
                  <c:v>0</c:v>
                </c:pt>
                <c:pt idx="3">
                  <c:v>1</c:v>
                </c:pt>
                <c:pt idx="4">
                  <c:v>0</c:v>
                </c:pt>
                <c:pt idx="5">
                  <c:v>0</c:v>
                </c:pt>
              </c:numCache>
            </c:numRef>
          </c:val>
        </c:ser>
        <c:dLbls>
          <c:showLegendKey val="0"/>
          <c:showVal val="0"/>
          <c:showCatName val="0"/>
          <c:showSerName val="0"/>
          <c:showPercent val="0"/>
          <c:showBubbleSize val="0"/>
        </c:dLbls>
        <c:gapWidth val="150"/>
        <c:axId val="108775296"/>
        <c:axId val="108776832"/>
      </c:barChart>
      <c:catAx>
        <c:axId val="10877529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8776832"/>
        <c:crosses val="autoZero"/>
        <c:auto val="1"/>
        <c:lblAlgn val="ctr"/>
        <c:lblOffset val="100"/>
        <c:noMultiLvlLbl val="0"/>
      </c:catAx>
      <c:valAx>
        <c:axId val="10877683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8775296"/>
        <c:crosses val="autoZero"/>
        <c:crossBetween val="between"/>
      </c:valAx>
    </c:plotArea>
    <c:legend>
      <c:legendPos val="r"/>
      <c:layout>
        <c:manualLayout>
          <c:xMode val="edge"/>
          <c:yMode val="edge"/>
          <c:x val="0.74412171507607194"/>
          <c:y val="0.41104294478527603"/>
          <c:w val="0.24204702627939143"/>
          <c:h val="0.17177914110429446"/>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462081128747795"/>
          <c:y val="0.11538461538461539"/>
          <c:w val="0.62962962962963276"/>
          <c:h val="0.78021978021978022"/>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1"/>
            <c:bubble3D val="0"/>
            <c:explosion val="44"/>
            <c:spPr>
              <a:solidFill>
                <a:srgbClr val="993366"/>
              </a:solidFill>
              <a:ln w="12699">
                <a:solidFill>
                  <a:srgbClr val="000000"/>
                </a:solidFill>
                <a:prstDash val="solid"/>
              </a:ln>
            </c:spPr>
          </c:dPt>
          <c:cat>
            <c:numRef>
              <c:f>Sheet1!$B$1:$C$1</c:f>
              <c:numCache>
                <c:formatCode>General</c:formatCode>
                <c:ptCount val="2"/>
                <c:pt idx="0">
                  <c:v>2019</c:v>
                </c:pt>
                <c:pt idx="1">
                  <c:v>2020</c:v>
                </c:pt>
              </c:numCache>
            </c:numRef>
          </c:cat>
          <c:val>
            <c:numRef>
              <c:f>Sheet1!$B$2:$C$2</c:f>
              <c:numCache>
                <c:formatCode>General</c:formatCode>
                <c:ptCount val="2"/>
                <c:pt idx="0">
                  <c:v>11</c:v>
                </c:pt>
                <c:pt idx="1">
                  <c:v>39</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cat>
            <c:numRef>
              <c:f>Sheet1!$B$1:$C$1</c:f>
              <c:numCache>
                <c:formatCode>General</c:formatCode>
                <c:ptCount val="2"/>
                <c:pt idx="0">
                  <c:v>2019</c:v>
                </c:pt>
                <c:pt idx="1">
                  <c:v>2020</c:v>
                </c:pt>
              </c:numCache>
            </c:num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numRef>
              <c:f>Sheet1!$B$1:$C$1</c:f>
              <c:numCache>
                <c:formatCode>General</c:formatCode>
                <c:ptCount val="2"/>
                <c:pt idx="0">
                  <c:v>2019</c:v>
                </c:pt>
                <c:pt idx="1">
                  <c:v>2020</c:v>
                </c:pt>
              </c:numCache>
            </c:numRef>
          </c:cat>
          <c:val>
            <c:numRef>
              <c:f>Sheet1!$B$4:$C$4</c:f>
              <c:numCache>
                <c:formatCode>General</c:formatCode>
                <c:ptCount val="2"/>
              </c:numCache>
            </c:numRef>
          </c:val>
        </c:ser>
        <c:dLbls>
          <c:showLegendKey val="0"/>
          <c:showVal val="0"/>
          <c:showCatName val="0"/>
          <c:showSerName val="0"/>
          <c:showPercent val="0"/>
          <c:showBubbleSize val="0"/>
          <c:showLeaderLines val="0"/>
        </c:dLbls>
      </c:pie3DChart>
      <c:spPr>
        <a:solidFill>
          <a:srgbClr val="C0C0C0"/>
        </a:solidFill>
        <a:ln w="12699">
          <a:solidFill>
            <a:srgbClr val="808080"/>
          </a:solidFill>
          <a:prstDash val="solid"/>
        </a:ln>
      </c:spPr>
    </c:plotArea>
    <c:legend>
      <c:legendPos val="r"/>
      <c:layout>
        <c:manualLayout>
          <c:xMode val="edge"/>
          <c:yMode val="edge"/>
          <c:x val="0.84303350970017632"/>
          <c:y val="0.12087912087912089"/>
          <c:w val="0.14991181657848382"/>
          <c:h val="0.80219780219780423"/>
        </c:manualLayout>
      </c:layout>
      <c:overlay val="0"/>
      <c:spPr>
        <a:noFill/>
        <a:ln w="3175">
          <a:solidFill>
            <a:srgbClr val="000000"/>
          </a:solidFill>
          <a:prstDash val="solid"/>
        </a:ln>
      </c:spPr>
      <c:txPr>
        <a:bodyPr/>
        <a:lstStyle/>
        <a:p>
          <a:pPr>
            <a:defRPr sz="12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269299820466913E-2"/>
          <c:y val="4.9450549450549483E-2"/>
          <c:w val="0.68581687612208264"/>
          <c:h val="0.76373626373626358"/>
        </c:manualLayout>
      </c:layout>
      <c:bar3DChart>
        <c:barDir val="col"/>
        <c:grouping val="clustered"/>
        <c:varyColors val="0"/>
        <c:ser>
          <c:idx val="0"/>
          <c:order val="0"/>
          <c:tx>
            <c:strRef>
              <c:f>Sheet1!$B$1</c:f>
              <c:strCache>
                <c:ptCount val="1"/>
                <c:pt idx="0">
                  <c:v>Плановые проверки </c:v>
                </c:pt>
              </c:strCache>
            </c:strRef>
          </c:tx>
          <c:spPr>
            <a:solidFill>
              <a:srgbClr val="9999FF"/>
            </a:solidFill>
            <a:ln w="12701">
              <a:solidFill>
                <a:srgbClr val="000000"/>
              </a:solidFill>
              <a:prstDash val="solid"/>
            </a:ln>
          </c:spPr>
          <c:invertIfNegative val="0"/>
          <c:cat>
            <c:strRef>
              <c:f>Sheet1!$A$2:$A$3</c:f>
              <c:strCache>
                <c:ptCount val="2"/>
                <c:pt idx="0">
                  <c:v>6 мес. 2019</c:v>
                </c:pt>
                <c:pt idx="1">
                  <c:v>6 мес. 2020</c:v>
                </c:pt>
              </c:strCache>
            </c:strRef>
          </c:cat>
          <c:val>
            <c:numRef>
              <c:f>Sheet1!$B$2:$B$3</c:f>
              <c:numCache>
                <c:formatCode>General</c:formatCode>
                <c:ptCount val="2"/>
                <c:pt idx="0">
                  <c:v>0</c:v>
                </c:pt>
                <c:pt idx="1">
                  <c:v>1</c:v>
                </c:pt>
              </c:numCache>
            </c:numRef>
          </c:val>
        </c:ser>
        <c:ser>
          <c:idx val="1"/>
          <c:order val="1"/>
          <c:tx>
            <c:strRef>
              <c:f>Sheet1!$C$1</c:f>
              <c:strCache>
                <c:ptCount val="1"/>
                <c:pt idx="0">
                  <c:v>Внеплановые проверки</c:v>
                </c:pt>
              </c:strCache>
            </c:strRef>
          </c:tx>
          <c:spPr>
            <a:solidFill>
              <a:srgbClr val="993366"/>
            </a:solidFill>
            <a:ln w="12701">
              <a:solidFill>
                <a:srgbClr val="000000"/>
              </a:solidFill>
              <a:prstDash val="solid"/>
            </a:ln>
          </c:spPr>
          <c:invertIfNegative val="0"/>
          <c:cat>
            <c:strRef>
              <c:f>Sheet1!$A$2:$A$3</c:f>
              <c:strCache>
                <c:ptCount val="2"/>
                <c:pt idx="0">
                  <c:v>6 мес. 2019</c:v>
                </c:pt>
                <c:pt idx="1">
                  <c:v>6 мес. 2020</c:v>
                </c:pt>
              </c:strCache>
            </c:strRef>
          </c:cat>
          <c:val>
            <c:numRef>
              <c:f>Sheet1!$C$2:$C$3</c:f>
              <c:numCache>
                <c:formatCode>General</c:formatCode>
                <c:ptCount val="2"/>
                <c:pt idx="0">
                  <c:v>0</c:v>
                </c:pt>
                <c:pt idx="1">
                  <c:v>1</c:v>
                </c:pt>
              </c:numCache>
            </c:numRef>
          </c:val>
        </c:ser>
        <c:dLbls>
          <c:showLegendKey val="0"/>
          <c:showVal val="0"/>
          <c:showCatName val="0"/>
          <c:showSerName val="0"/>
          <c:showPercent val="0"/>
          <c:showBubbleSize val="0"/>
        </c:dLbls>
        <c:gapWidth val="150"/>
        <c:gapDepth val="0"/>
        <c:shape val="box"/>
        <c:axId val="158560640"/>
        <c:axId val="158562176"/>
        <c:axId val="0"/>
      </c:bar3DChart>
      <c:catAx>
        <c:axId val="1585606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562176"/>
        <c:crosses val="autoZero"/>
        <c:auto val="1"/>
        <c:lblAlgn val="ctr"/>
        <c:lblOffset val="100"/>
        <c:tickLblSkip val="1"/>
        <c:tickMarkSkip val="1"/>
        <c:noMultiLvlLbl val="0"/>
      </c:catAx>
      <c:valAx>
        <c:axId val="1585621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560640"/>
        <c:crosses val="autoZero"/>
        <c:crossBetween val="between"/>
      </c:valAx>
      <c:spPr>
        <a:noFill/>
        <a:ln w="25401">
          <a:noFill/>
        </a:ln>
      </c:spPr>
    </c:plotArea>
    <c:legend>
      <c:legendPos val="r"/>
      <c:layout>
        <c:manualLayout>
          <c:xMode val="edge"/>
          <c:yMode val="edge"/>
          <c:x val="0.75583482944344926"/>
          <c:y val="0.10439560439560452"/>
          <c:w val="0.23698384201077199"/>
          <c:h val="0.7087912087912088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7">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397">
                <a:latin typeface="Times New Roman" panose="02020603050405020304" pitchFamily="18" charset="0"/>
                <a:cs typeface="Times New Roman" panose="02020603050405020304" pitchFamily="18" charset="0"/>
              </a:rPr>
              <a:t>(всего 427)</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427)</c:v>
                </c:pt>
              </c:strCache>
            </c:strRef>
          </c:tx>
          <c:explosion val="25"/>
          <c:dPt>
            <c:idx val="0"/>
            <c:bubble3D val="0"/>
          </c:dPt>
          <c:dPt>
            <c:idx val="1"/>
            <c:bubble3D val="0"/>
          </c:dPt>
          <c:dPt>
            <c:idx val="2"/>
            <c:bubble3D val="0"/>
          </c:dPt>
          <c:dPt>
            <c:idx val="3"/>
            <c:bubble3D val="0"/>
          </c:dPt>
          <c:dLbls>
            <c:dLbl>
              <c:idx val="0"/>
              <c:tx>
                <c:rich>
                  <a:bodyPr/>
                  <a:lstStyle/>
                  <a:p>
                    <a:r>
                      <a:rPr lang="ru-RU"/>
                      <a:t>41</a:t>
                    </a:r>
                    <a:r>
                      <a:rPr lang="en-US"/>
                      <a:t>; </a:t>
                    </a:r>
                    <a:r>
                      <a:rPr lang="ru-RU"/>
                      <a:t>9</a:t>
                    </a:r>
                    <a:r>
                      <a:rPr lang="en-US"/>
                      <a:t>%</a:t>
                    </a:r>
                  </a:p>
                </c:rich>
              </c:tx>
              <c:dLblPos val="outEnd"/>
              <c:showLegendKey val="0"/>
              <c:showVal val="0"/>
              <c:showCatName val="0"/>
              <c:showSerName val="0"/>
              <c:showPercent val="0"/>
              <c:showBubbleSize val="0"/>
            </c:dLbl>
            <c:dLbl>
              <c:idx val="1"/>
              <c:tx>
                <c:rich>
                  <a:bodyPr/>
                  <a:lstStyle/>
                  <a:p>
                    <a:r>
                      <a:rPr lang="ru-RU"/>
                      <a:t>363</a:t>
                    </a:r>
                    <a:r>
                      <a:rPr lang="en-US"/>
                      <a:t>; </a:t>
                    </a:r>
                    <a:r>
                      <a:rPr lang="ru-RU"/>
                      <a:t>83</a:t>
                    </a:r>
                    <a:r>
                      <a:rPr lang="en-US"/>
                      <a:t>%</a:t>
                    </a:r>
                  </a:p>
                </c:rich>
              </c:tx>
              <c:dLblPos val="outEnd"/>
              <c:showLegendKey val="0"/>
              <c:showVal val="0"/>
              <c:showCatName val="0"/>
              <c:showSerName val="0"/>
              <c:showPercent val="0"/>
              <c:showBubbleSize val="0"/>
            </c:dLbl>
            <c:dLbl>
              <c:idx val="2"/>
              <c:tx>
                <c:rich>
                  <a:bodyPr/>
                  <a:lstStyle/>
                  <a:p>
                    <a:r>
                      <a:rPr lang="ru-RU"/>
                      <a:t>33</a:t>
                    </a:r>
                    <a:r>
                      <a:rPr lang="en-US"/>
                      <a:t>; </a:t>
                    </a:r>
                    <a:r>
                      <a:rPr lang="ru-RU"/>
                      <a:t>7,5</a:t>
                    </a:r>
                    <a:r>
                      <a:rPr lang="en-US"/>
                      <a:t>%</a:t>
                    </a:r>
                  </a:p>
                </c:rich>
              </c:tx>
              <c:dLblPos val="outEnd"/>
              <c:showLegendKey val="0"/>
              <c:showVal val="0"/>
              <c:showCatName val="0"/>
              <c:showSerName val="0"/>
              <c:showPercent val="0"/>
              <c:showBubbleSize val="0"/>
            </c:dLbl>
            <c:spPr>
              <a:noFill/>
              <a:ln w="25344">
                <a:noFill/>
              </a:ln>
            </c:spPr>
            <c:txPr>
              <a:bodyPr/>
              <a:lstStyle/>
              <a:p>
                <a:pPr>
                  <a:defRPr>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41</c:v>
                </c:pt>
                <c:pt idx="1">
                  <c:v>366</c:v>
                </c:pt>
                <c:pt idx="2">
                  <c:v>20</c:v>
                </c:pt>
                <c:pt idx="3">
                  <c:v>0</c:v>
                </c:pt>
              </c:numCache>
            </c:numRef>
          </c:val>
        </c:ser>
        <c:dLbls>
          <c:showLegendKey val="0"/>
          <c:showVal val="0"/>
          <c:showCatName val="0"/>
          <c:showSerName val="0"/>
          <c:showPercent val="0"/>
          <c:showBubbleSize val="0"/>
          <c:showLeaderLines val="1"/>
        </c:dLbls>
      </c:pie3DChart>
      <c:spPr>
        <a:noFill/>
        <a:ln w="25344">
          <a:noFill/>
        </a:ln>
      </c:spPr>
    </c:plotArea>
    <c:legend>
      <c:legendPos val="r"/>
      <c:legendEntry>
        <c:idx val="0"/>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7668463611859837"/>
          <c:y val="0.47117794486215536"/>
          <c:w val="0.2088545944605695"/>
          <c:h val="0.27281568273883167"/>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734157650695522E-2"/>
          <c:y val="9.1772151898734181E-2"/>
          <c:w val="0.9103554868624415"/>
          <c:h val="0.59177215189873356"/>
        </c:manualLayout>
      </c:layout>
      <c:barChart>
        <c:barDir val="col"/>
        <c:grouping val="clustered"/>
        <c:varyColors val="0"/>
        <c:ser>
          <c:idx val="0"/>
          <c:order val="0"/>
          <c:tx>
            <c:strRef>
              <c:f>Sheet1!$A$2</c:f>
              <c:strCache>
                <c:ptCount val="1"/>
                <c:pt idx="0">
                  <c:v>аварийность</c:v>
                </c:pt>
              </c:strCache>
            </c:strRef>
          </c:tx>
          <c:spPr>
            <a:solidFill>
              <a:srgbClr val="9999FF"/>
            </a:solidFill>
            <a:ln w="10624">
              <a:solidFill>
                <a:srgbClr val="000000"/>
              </a:solidFill>
              <a:prstDash val="solid"/>
            </a:ln>
          </c:spPr>
          <c:invertIfNegative val="0"/>
          <c:dLbls>
            <c:spPr>
              <a:noFill/>
              <a:ln w="21246">
                <a:noFill/>
              </a:ln>
            </c:spPr>
            <c:txPr>
              <a:bodyPr/>
              <a:lstStyle/>
              <a:p>
                <a:pPr>
                  <a:defRPr sz="837"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Sheet1!$C$1:$I$1</c:f>
              <c:strCache>
                <c:ptCount val="7"/>
                <c:pt idx="0">
                  <c:v>2014 год</c:v>
                </c:pt>
                <c:pt idx="1">
                  <c:v>2015 год</c:v>
                </c:pt>
                <c:pt idx="2">
                  <c:v>2016 год</c:v>
                </c:pt>
                <c:pt idx="3">
                  <c:v>2017 год</c:v>
                </c:pt>
                <c:pt idx="4">
                  <c:v>2018 год</c:v>
                </c:pt>
                <c:pt idx="5">
                  <c:v>2019 год</c:v>
                </c:pt>
                <c:pt idx="6">
                  <c:v>2020 год</c:v>
                </c:pt>
              </c:strCache>
            </c:strRef>
          </c:cat>
          <c:val>
            <c:numRef>
              <c:f>Sheet1!$C$2:$I$2</c:f>
              <c:numCache>
                <c:formatCode>General</c:formatCode>
                <c:ptCount val="7"/>
                <c:pt idx="0">
                  <c:v>0</c:v>
                </c:pt>
                <c:pt idx="1">
                  <c:v>2</c:v>
                </c:pt>
                <c:pt idx="2">
                  <c:v>0</c:v>
                </c:pt>
                <c:pt idx="3">
                  <c:v>0</c:v>
                </c:pt>
                <c:pt idx="4">
                  <c:v>1</c:v>
                </c:pt>
                <c:pt idx="5">
                  <c:v>0</c:v>
                </c:pt>
                <c:pt idx="6">
                  <c:v>0</c:v>
                </c:pt>
              </c:numCache>
            </c:numRef>
          </c:val>
        </c:ser>
        <c:ser>
          <c:idx val="1"/>
          <c:order val="1"/>
          <c:tx>
            <c:strRef>
              <c:f>Sheet1!$A$3</c:f>
              <c:strCache>
                <c:ptCount val="1"/>
                <c:pt idx="0">
                  <c:v>травматизм</c:v>
                </c:pt>
              </c:strCache>
            </c:strRef>
          </c:tx>
          <c:spPr>
            <a:solidFill>
              <a:srgbClr val="993366"/>
            </a:solidFill>
            <a:ln w="10624">
              <a:solidFill>
                <a:srgbClr val="000000"/>
              </a:solidFill>
              <a:prstDash val="solid"/>
            </a:ln>
          </c:spPr>
          <c:invertIfNegative val="0"/>
          <c:dLbls>
            <c:spPr>
              <a:noFill/>
              <a:ln w="21246">
                <a:noFill/>
              </a:ln>
            </c:spPr>
            <c:txPr>
              <a:bodyPr/>
              <a:lstStyle/>
              <a:p>
                <a:pPr>
                  <a:defRPr sz="1004"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Sheet1!$C$1:$I$1</c:f>
              <c:strCache>
                <c:ptCount val="7"/>
                <c:pt idx="0">
                  <c:v>2014 год</c:v>
                </c:pt>
                <c:pt idx="1">
                  <c:v>2015 год</c:v>
                </c:pt>
                <c:pt idx="2">
                  <c:v>2016 год</c:v>
                </c:pt>
                <c:pt idx="3">
                  <c:v>2017 год</c:v>
                </c:pt>
                <c:pt idx="4">
                  <c:v>2018 год</c:v>
                </c:pt>
                <c:pt idx="5">
                  <c:v>2019 год</c:v>
                </c:pt>
                <c:pt idx="6">
                  <c:v>2020 год</c:v>
                </c:pt>
              </c:strCache>
            </c:strRef>
          </c:cat>
          <c:val>
            <c:numRef>
              <c:f>Sheet1!$B$3:$H$3</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122156160"/>
        <c:axId val="122157696"/>
      </c:barChart>
      <c:catAx>
        <c:axId val="122156160"/>
        <c:scaling>
          <c:orientation val="minMax"/>
        </c:scaling>
        <c:delete val="0"/>
        <c:axPos val="b"/>
        <c:numFmt formatCode="General" sourceLinked="1"/>
        <c:majorTickMark val="out"/>
        <c:minorTickMark val="none"/>
        <c:tickLblPos val="nextTo"/>
        <c:spPr>
          <a:ln w="2656">
            <a:solidFill>
              <a:srgbClr val="000000"/>
            </a:solidFill>
            <a:prstDash val="solid"/>
          </a:ln>
        </c:spPr>
        <c:txPr>
          <a:bodyPr rot="0" vert="horz"/>
          <a:lstStyle/>
          <a:p>
            <a:pPr>
              <a:defRPr sz="837" b="0" i="0" u="none" strike="noStrike" baseline="0">
                <a:solidFill>
                  <a:srgbClr val="000000"/>
                </a:solidFill>
                <a:latin typeface="Times New Roman"/>
                <a:ea typeface="Times New Roman"/>
                <a:cs typeface="Times New Roman"/>
              </a:defRPr>
            </a:pPr>
            <a:endParaRPr lang="ru-RU"/>
          </a:p>
        </c:txPr>
        <c:crossAx val="122157696"/>
        <c:crosses val="autoZero"/>
        <c:auto val="1"/>
        <c:lblAlgn val="ctr"/>
        <c:lblOffset val="100"/>
        <c:noMultiLvlLbl val="0"/>
      </c:catAx>
      <c:valAx>
        <c:axId val="122157696"/>
        <c:scaling>
          <c:orientation val="minMax"/>
        </c:scaling>
        <c:delete val="0"/>
        <c:axPos val="l"/>
        <c:majorGridlines>
          <c:spPr>
            <a:ln w="2656">
              <a:solidFill>
                <a:srgbClr val="000000"/>
              </a:solidFill>
              <a:prstDash val="solid"/>
            </a:ln>
          </c:spPr>
        </c:majorGridlines>
        <c:numFmt formatCode="General" sourceLinked="1"/>
        <c:majorTickMark val="out"/>
        <c:minorTickMark val="none"/>
        <c:tickLblPos val="nextTo"/>
        <c:spPr>
          <a:ln w="2656">
            <a:solidFill>
              <a:srgbClr val="000000"/>
            </a:solidFill>
            <a:prstDash val="solid"/>
          </a:ln>
        </c:spPr>
        <c:txPr>
          <a:bodyPr rot="0" vert="horz"/>
          <a:lstStyle/>
          <a:p>
            <a:pPr>
              <a:defRPr sz="837"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22156160"/>
        <c:crosses val="autoZero"/>
        <c:crossBetween val="between"/>
      </c:valAx>
      <c:spPr>
        <a:solidFill>
          <a:srgbClr val="FFFFFF"/>
        </a:solidFill>
        <a:ln w="10624">
          <a:solidFill>
            <a:srgbClr val="808080"/>
          </a:solidFill>
          <a:prstDash val="solid"/>
        </a:ln>
      </c:spPr>
    </c:plotArea>
    <c:legend>
      <c:legendPos val="r"/>
      <c:layout>
        <c:manualLayout>
          <c:xMode val="edge"/>
          <c:yMode val="edge"/>
          <c:x val="0.35624992454495574"/>
          <c:y val="0.81804986731870877"/>
          <c:w val="0.16436444974747599"/>
          <c:h val="0.14885749959285599"/>
        </c:manualLayout>
      </c:layout>
      <c:overlay val="0"/>
      <c:spPr>
        <a:noFill/>
        <a:ln w="2656">
          <a:solidFill>
            <a:srgbClr val="000000"/>
          </a:solidFill>
          <a:prstDash val="solid"/>
        </a:ln>
      </c:spPr>
      <c:txPr>
        <a:bodyPr/>
        <a:lstStyle/>
        <a:p>
          <a:pPr>
            <a:defRPr sz="837"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0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ОПО по классам опасности (всего 2</a:t>
            </a:r>
            <a:r>
              <a:rPr lang="en-US"/>
              <a:t>49</a:t>
            </a:r>
            <a:r>
              <a:rPr lang="ru-RU"/>
              <a: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251)</c:v>
                </c:pt>
              </c:strCache>
            </c:strRef>
          </c:tx>
          <c:explosion val="25"/>
          <c:cat>
            <c:strRef>
              <c:f>Лист1!$A$2:$A$5</c:f>
              <c:strCache>
                <c:ptCount val="4"/>
                <c:pt idx="0">
                  <c:v>I класс опасности (38 ОПО)</c:v>
                </c:pt>
                <c:pt idx="1">
                  <c:v>II класс опасности (40 ОПО)</c:v>
                </c:pt>
                <c:pt idx="2">
                  <c:v>III класс опасности (166 ОПО)</c:v>
                </c:pt>
                <c:pt idx="3">
                  <c:v>IV класс опасности (5 ОПО)</c:v>
                </c:pt>
              </c:strCache>
            </c:strRef>
          </c:cat>
          <c:val>
            <c:numRef>
              <c:f>Лист1!$B$2:$B$5</c:f>
              <c:numCache>
                <c:formatCode>General</c:formatCode>
                <c:ptCount val="4"/>
                <c:pt idx="0">
                  <c:v>38</c:v>
                </c:pt>
                <c:pt idx="1">
                  <c:v>40</c:v>
                </c:pt>
                <c:pt idx="2">
                  <c:v>166</c:v>
                </c:pt>
                <c:pt idx="3">
                  <c:v>5</c:v>
                </c:pt>
              </c:numCache>
            </c:numRef>
          </c:val>
          <c:extLst xmlns:c16r2="http://schemas.microsoft.com/office/drawing/2015/06/chart">
            <c:ext xmlns:c16="http://schemas.microsoft.com/office/drawing/2014/chart" uri="{C3380CC4-5D6E-409C-BE32-E72D297353CC}">
              <c16:uniqueId val="{00000000-5DF7-4D19-8515-F2F1A541299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600"/>
          </a:pPr>
          <a:endParaRPr lang="ru-RU"/>
        </a:p>
      </c:txPr>
    </c:title>
    <c:autoTitleDeleted val="0"/>
    <c:plotArea>
      <c:layout/>
      <c:barChart>
        <c:barDir val="col"/>
        <c:grouping val="clustered"/>
        <c:varyColors val="0"/>
        <c:ser>
          <c:idx val="0"/>
          <c:order val="0"/>
          <c:tx>
            <c:strRef>
              <c:f>Лист1!$B$1</c:f>
              <c:strCache>
                <c:ptCount val="1"/>
                <c:pt idx="0">
                  <c:v>Аварии </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2</c:v>
                </c:pt>
                <c:pt idx="1">
                  <c:v>1</c:v>
                </c:pt>
              </c:numCache>
            </c:numRef>
          </c:val>
        </c:ser>
        <c:dLbls>
          <c:showLegendKey val="0"/>
          <c:showVal val="0"/>
          <c:showCatName val="0"/>
          <c:showSerName val="0"/>
          <c:showPercent val="0"/>
          <c:showBubbleSize val="0"/>
        </c:dLbls>
        <c:gapWidth val="150"/>
        <c:axId val="122713216"/>
        <c:axId val="122714752"/>
      </c:barChart>
      <c:catAx>
        <c:axId val="122713216"/>
        <c:scaling>
          <c:orientation val="minMax"/>
        </c:scaling>
        <c:delete val="0"/>
        <c:axPos val="b"/>
        <c:numFmt formatCode="General" sourceLinked="1"/>
        <c:majorTickMark val="out"/>
        <c:minorTickMark val="none"/>
        <c:tickLblPos val="nextTo"/>
        <c:crossAx val="122714752"/>
        <c:crosses val="autoZero"/>
        <c:auto val="1"/>
        <c:lblAlgn val="ctr"/>
        <c:lblOffset val="100"/>
        <c:noMultiLvlLbl val="0"/>
      </c:catAx>
      <c:valAx>
        <c:axId val="122714752"/>
        <c:scaling>
          <c:orientation val="minMax"/>
        </c:scaling>
        <c:delete val="0"/>
        <c:axPos val="l"/>
        <c:majorGridlines/>
        <c:numFmt formatCode="General" sourceLinked="1"/>
        <c:majorTickMark val="out"/>
        <c:minorTickMark val="none"/>
        <c:tickLblPos val="nextTo"/>
        <c:crossAx val="12271321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Распределение ОПО по классам опасности (81)</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(92)</c:v>
                </c:pt>
              </c:strCache>
            </c:strRef>
          </c:tx>
          <c:dLbls>
            <c:dLbl>
              <c:idx val="0"/>
              <c:delete val="1"/>
            </c:dLbl>
            <c:dLbl>
              <c:idx val="1"/>
              <c:tx>
                <c:rich>
                  <a:bodyPr/>
                  <a:lstStyle/>
                  <a:p>
                    <a:r>
                      <a:rPr lang="ru-RU"/>
                      <a:t>29,63%</a:t>
                    </a:r>
                    <a:endParaRPr lang="en-US"/>
                  </a:p>
                </c:rich>
              </c:tx>
              <c:showLegendKey val="0"/>
              <c:showVal val="1"/>
              <c:showCatName val="0"/>
              <c:showSerName val="0"/>
              <c:showPercent val="1"/>
              <c:showBubbleSize val="0"/>
            </c:dLbl>
            <c:dLbl>
              <c:idx val="2"/>
              <c:tx>
                <c:rich>
                  <a:bodyPr/>
                  <a:lstStyle/>
                  <a:p>
                    <a:r>
                      <a:rPr lang="ru-RU"/>
                      <a:t>70,37</a:t>
                    </a:r>
                    <a:r>
                      <a:rPr lang="en-US"/>
                      <a:t>%</a:t>
                    </a:r>
                  </a:p>
                </c:rich>
              </c:tx>
              <c:showLegendKey val="0"/>
              <c:showVal val="1"/>
              <c:showCatName val="0"/>
              <c:showSerName val="0"/>
              <c:showPercent val="1"/>
              <c:showBubbleSize val="0"/>
            </c:dLbl>
            <c:dLbl>
              <c:idx val="3"/>
              <c:delete val="1"/>
            </c:dLbl>
            <c:showLegendKey val="0"/>
            <c:showVal val="1"/>
            <c:showCatName val="0"/>
            <c:showSerName val="0"/>
            <c:showPercent val="1"/>
            <c:showBubbleSize val="0"/>
            <c:showLeaderLines val="1"/>
          </c:dLbls>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0</c:v>
                </c:pt>
                <c:pt idx="1">
                  <c:v>31</c:v>
                </c:pt>
                <c:pt idx="2">
                  <c:v>61</c:v>
                </c:pt>
                <c:pt idx="3">
                  <c:v>0</c:v>
                </c:pt>
              </c:numCache>
            </c:numRef>
          </c:val>
        </c:ser>
        <c:dLbls>
          <c:showLegendKey val="0"/>
          <c:showVal val="0"/>
          <c:showCatName val="0"/>
          <c:showSerName val="0"/>
          <c:showPercent val="0"/>
          <c:showBubbleSize val="0"/>
          <c:showLeaderLines val="1"/>
        </c:dLbls>
      </c:pie3DChart>
    </c:plotArea>
    <c:legend>
      <c:legendPos val="r"/>
      <c:legendEntry>
        <c:idx val="0"/>
        <c:delete val="1"/>
      </c:legendEntry>
      <c:legendEntry>
        <c:idx val="3"/>
        <c:delete val="1"/>
      </c:legendEntry>
      <c:layout>
        <c:manualLayout>
          <c:xMode val="edge"/>
          <c:yMode val="edge"/>
          <c:x val="0.67434146252551763"/>
          <c:y val="0.35341337799971823"/>
          <c:w val="0.22149187080781568"/>
          <c:h val="0.2054027415295395"/>
        </c:manualLayout>
      </c:layout>
      <c:overlay val="0"/>
    </c:legend>
    <c:plotVisOnly val="1"/>
    <c:dispBlanksAs val="zero"/>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7">
                <a:latin typeface="Times New Roman" panose="02020603050405020304" pitchFamily="18" charset="0"/>
                <a:cs typeface="Times New Roman" panose="02020603050405020304" pitchFamily="18" charset="0"/>
              </a:rPr>
              <a:t>Распределение ОПО по классам опасности </a:t>
            </a:r>
          </a:p>
          <a:p>
            <a:pPr>
              <a:defRPr/>
            </a:pPr>
            <a:r>
              <a:rPr lang="ru-RU" sz="1397">
                <a:latin typeface="Times New Roman" panose="02020603050405020304" pitchFamily="18" charset="0"/>
                <a:cs typeface="Times New Roman" panose="02020603050405020304" pitchFamily="18" charset="0"/>
              </a:rPr>
              <a:t>(всего 4315)</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ОПО по классам опасности (всего 3660)</c:v>
                </c:pt>
              </c:strCache>
            </c:strRef>
          </c:tx>
          <c:explosion val="25"/>
          <c:dPt>
            <c:idx val="0"/>
            <c:bubble3D val="0"/>
          </c:dPt>
          <c:dPt>
            <c:idx val="1"/>
            <c:bubble3D val="0"/>
          </c:dPt>
          <c:dPt>
            <c:idx val="2"/>
            <c:bubble3D val="0"/>
          </c:dPt>
          <c:dPt>
            <c:idx val="3"/>
            <c:bubble3D val="0"/>
          </c:dPt>
          <c:cat>
            <c:strRef>
              <c:f>Лист1!$A$2:$A$5</c:f>
              <c:strCache>
                <c:ptCount val="4"/>
                <c:pt idx="0">
                  <c:v>I класс опасности</c:v>
                </c:pt>
                <c:pt idx="1">
                  <c:v>II класс опасности</c:v>
                </c:pt>
                <c:pt idx="2">
                  <c:v>III класс опасности</c:v>
                </c:pt>
                <c:pt idx="3">
                  <c:v>IV класс опасности</c:v>
                </c:pt>
              </c:strCache>
            </c:strRef>
          </c:cat>
          <c:val>
            <c:numRef>
              <c:f>Лист1!$B$2:$B$5</c:f>
              <c:numCache>
                <c:formatCode>General</c:formatCode>
                <c:ptCount val="4"/>
                <c:pt idx="0">
                  <c:v>0</c:v>
                </c:pt>
                <c:pt idx="1">
                  <c:v>11</c:v>
                </c:pt>
                <c:pt idx="2">
                  <c:v>3527</c:v>
                </c:pt>
                <c:pt idx="3">
                  <c:v>122</c:v>
                </c:pt>
              </c:numCache>
            </c:numRef>
          </c:val>
        </c:ser>
        <c:dLbls>
          <c:showLegendKey val="0"/>
          <c:showVal val="0"/>
          <c:showCatName val="0"/>
          <c:showSerName val="0"/>
          <c:showPercent val="0"/>
          <c:showBubbleSize val="0"/>
          <c:showLeaderLines val="1"/>
        </c:dLbls>
      </c:pie3DChart>
      <c:spPr>
        <a:noFill/>
        <a:ln w="25376">
          <a:noFill/>
        </a:ln>
      </c:spPr>
    </c:plotArea>
    <c:legend>
      <c:legendPos val="r"/>
      <c:legendEntry>
        <c:idx val="0"/>
        <c:delete val="1"/>
      </c:legendEntry>
      <c:legendEntry>
        <c:idx val="1"/>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77138641583154377"/>
          <c:y val="0.34623172103487065"/>
          <c:w val="0.21681411805058459"/>
          <c:h val="0.58059761760549156"/>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734157650695522E-2"/>
          <c:y val="9.1772151898734181E-2"/>
          <c:w val="0.9103554868624415"/>
          <c:h val="0.59177215189873356"/>
        </c:manualLayout>
      </c:layout>
      <c:barChart>
        <c:barDir val="col"/>
        <c:grouping val="clustered"/>
        <c:varyColors val="0"/>
        <c:ser>
          <c:idx val="0"/>
          <c:order val="0"/>
          <c:tx>
            <c:strRef>
              <c:f>Sheet1!$A$2</c:f>
              <c:strCache>
                <c:ptCount val="1"/>
                <c:pt idx="0">
                  <c:v>аварийность</c:v>
                </c:pt>
              </c:strCache>
            </c:strRef>
          </c:tx>
          <c:spPr>
            <a:solidFill>
              <a:srgbClr val="9999FF"/>
            </a:solidFill>
            <a:ln w="11464">
              <a:solidFill>
                <a:srgbClr val="000000"/>
              </a:solidFill>
              <a:prstDash val="solid"/>
            </a:ln>
          </c:spPr>
          <c:invertIfNegative val="0"/>
          <c:dLbls>
            <c:dLbl>
              <c:idx val="4"/>
              <c:tx>
                <c:rich>
                  <a:bodyPr/>
                  <a:lstStyle/>
                  <a:p>
                    <a:r>
                      <a:rPr lang="ru-RU"/>
                      <a:t>0</a:t>
                    </a:r>
                    <a:endParaRPr lang="en-US"/>
                  </a:p>
                </c:rich>
              </c:tx>
              <c:showLegendKey val="0"/>
              <c:showVal val="0"/>
              <c:showCatName val="0"/>
              <c:showSerName val="0"/>
              <c:showPercent val="0"/>
              <c:showBubbleSize val="0"/>
            </c:dLbl>
            <c:spPr>
              <a:noFill/>
              <a:ln w="22927">
                <a:noFill/>
              </a:ln>
            </c:spPr>
            <c:txPr>
              <a:bodyPr/>
              <a:lstStyle/>
              <a:p>
                <a:pPr>
                  <a:defRPr sz="9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2014 год</c:v>
                </c:pt>
                <c:pt idx="1">
                  <c:v>2015 год</c:v>
                </c:pt>
                <c:pt idx="2">
                  <c:v>2016 год</c:v>
                </c:pt>
                <c:pt idx="3">
                  <c:v>2017 год</c:v>
                </c:pt>
                <c:pt idx="4">
                  <c:v>2018 год</c:v>
                </c:pt>
                <c:pt idx="5">
                  <c:v>2019 год</c:v>
                </c:pt>
              </c:strCache>
            </c:strRef>
          </c:cat>
          <c:val>
            <c:numRef>
              <c:f>Sheet1!$B$2:$H$2</c:f>
              <c:numCache>
                <c:formatCode>General</c:formatCode>
                <c:ptCount val="6"/>
                <c:pt idx="0">
                  <c:v>1</c:v>
                </c:pt>
                <c:pt idx="1">
                  <c:v>1</c:v>
                </c:pt>
                <c:pt idx="2">
                  <c:v>0</c:v>
                </c:pt>
                <c:pt idx="3">
                  <c:v>1</c:v>
                </c:pt>
                <c:pt idx="4">
                  <c:v>0</c:v>
                </c:pt>
                <c:pt idx="5">
                  <c:v>0</c:v>
                </c:pt>
              </c:numCache>
            </c:numRef>
          </c:val>
        </c:ser>
        <c:ser>
          <c:idx val="1"/>
          <c:order val="1"/>
          <c:tx>
            <c:strRef>
              <c:f>Sheet1!$A$3</c:f>
              <c:strCache>
                <c:ptCount val="1"/>
                <c:pt idx="0">
                  <c:v>травматизм</c:v>
                </c:pt>
              </c:strCache>
            </c:strRef>
          </c:tx>
          <c:spPr>
            <a:solidFill>
              <a:srgbClr val="993366"/>
            </a:solidFill>
            <a:ln w="11464">
              <a:solidFill>
                <a:srgbClr val="000000"/>
              </a:solidFill>
              <a:prstDash val="solid"/>
            </a:ln>
          </c:spPr>
          <c:invertIfNegative val="0"/>
          <c:dLbls>
            <c:spPr>
              <a:noFill/>
              <a:ln w="22927">
                <a:noFill/>
              </a:ln>
            </c:spPr>
            <c:txPr>
              <a:bodyPr/>
              <a:lstStyle/>
              <a:p>
                <a:pPr>
                  <a:defRPr sz="9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Sheet1!$B$1:$H$1</c:f>
              <c:strCache>
                <c:ptCount val="6"/>
                <c:pt idx="0">
                  <c:v>2014 год</c:v>
                </c:pt>
                <c:pt idx="1">
                  <c:v>2015 год</c:v>
                </c:pt>
                <c:pt idx="2">
                  <c:v>2016 год</c:v>
                </c:pt>
                <c:pt idx="3">
                  <c:v>2017 год</c:v>
                </c:pt>
                <c:pt idx="4">
                  <c:v>2018 год</c:v>
                </c:pt>
                <c:pt idx="5">
                  <c:v>2019 год</c:v>
                </c:pt>
              </c:strCache>
            </c:strRef>
          </c:cat>
          <c:val>
            <c:numRef>
              <c:f>Sheet1!$B$3:$H$3</c:f>
              <c:numCache>
                <c:formatCode>General</c:formatCode>
                <c:ptCount val="6"/>
                <c:pt idx="0">
                  <c:v>0</c:v>
                </c:pt>
                <c:pt idx="1">
                  <c:v>0</c:v>
                </c:pt>
                <c:pt idx="2">
                  <c:v>0</c:v>
                </c:pt>
                <c:pt idx="3">
                  <c:v>0</c:v>
                </c:pt>
                <c:pt idx="4">
                  <c:v>0</c:v>
                </c:pt>
                <c:pt idx="5">
                  <c:v>0</c:v>
                </c:pt>
              </c:numCache>
            </c:numRef>
          </c:val>
        </c:ser>
        <c:dLbls>
          <c:showLegendKey val="0"/>
          <c:showVal val="0"/>
          <c:showCatName val="0"/>
          <c:showSerName val="0"/>
          <c:showPercent val="0"/>
          <c:showBubbleSize val="0"/>
        </c:dLbls>
        <c:gapWidth val="150"/>
        <c:axId val="122781056"/>
        <c:axId val="122782848"/>
      </c:barChart>
      <c:catAx>
        <c:axId val="122781056"/>
        <c:scaling>
          <c:orientation val="minMax"/>
        </c:scaling>
        <c:delete val="0"/>
        <c:axPos val="b"/>
        <c:numFmt formatCode="General" sourceLinked="1"/>
        <c:majorTickMark val="out"/>
        <c:minorTickMark val="none"/>
        <c:tickLblPos val="nextTo"/>
        <c:spPr>
          <a:ln w="2866">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22782848"/>
        <c:crosses val="autoZero"/>
        <c:auto val="1"/>
        <c:lblAlgn val="ctr"/>
        <c:lblOffset val="100"/>
        <c:tickLblSkip val="1"/>
        <c:tickMarkSkip val="1"/>
        <c:noMultiLvlLbl val="0"/>
      </c:catAx>
      <c:valAx>
        <c:axId val="122782848"/>
        <c:scaling>
          <c:orientation val="minMax"/>
        </c:scaling>
        <c:delete val="0"/>
        <c:axPos val="l"/>
        <c:majorGridlines>
          <c:spPr>
            <a:ln w="2866">
              <a:solidFill>
                <a:srgbClr val="000000"/>
              </a:solidFill>
              <a:prstDash val="solid"/>
            </a:ln>
          </c:spPr>
        </c:majorGridlines>
        <c:numFmt formatCode="General" sourceLinked="1"/>
        <c:majorTickMark val="out"/>
        <c:minorTickMark val="none"/>
        <c:tickLblPos val="nextTo"/>
        <c:spPr>
          <a:ln w="2866">
            <a:solidFill>
              <a:srgbClr val="000000"/>
            </a:solidFill>
            <a:prstDash val="solid"/>
          </a:ln>
        </c:spPr>
        <c:txPr>
          <a:bodyPr rot="0" vert="horz"/>
          <a:lstStyle/>
          <a:p>
            <a:pPr>
              <a:defRPr sz="902"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22781056"/>
        <c:crosses val="autoZero"/>
        <c:crossBetween val="between"/>
      </c:valAx>
      <c:spPr>
        <a:solidFill>
          <a:srgbClr val="FFFFFF"/>
        </a:solidFill>
        <a:ln w="11464">
          <a:solidFill>
            <a:srgbClr val="808080"/>
          </a:solidFill>
          <a:prstDash val="solid"/>
        </a:ln>
      </c:spPr>
    </c:plotArea>
    <c:legend>
      <c:legendPos val="r"/>
      <c:layout>
        <c:manualLayout>
          <c:xMode val="edge"/>
          <c:yMode val="edge"/>
          <c:x val="6.0281479238172134E-2"/>
          <c:y val="0.83860316716915961"/>
          <c:w val="0.33876221498371334"/>
          <c:h val="9.2307692307692313E-2"/>
        </c:manualLayout>
      </c:layout>
      <c:overlay val="0"/>
      <c:spPr>
        <a:noFill/>
        <a:ln w="2866">
          <a:solidFill>
            <a:srgbClr val="000000"/>
          </a:solidFill>
          <a:prstDash val="solid"/>
        </a:ln>
      </c:spPr>
      <c:txPr>
        <a:bodyPr/>
        <a:lstStyle/>
        <a:p>
          <a:pPr>
            <a:defRPr sz="993"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085"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48D9-03F6-4454-BEBD-FB386B34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16079</Words>
  <Characters>91656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Долгова Анна Анатольевна</cp:lastModifiedBy>
  <cp:revision>3</cp:revision>
  <cp:lastPrinted>2020-08-03T13:01:00Z</cp:lastPrinted>
  <dcterms:created xsi:type="dcterms:W3CDTF">2020-08-26T13:47:00Z</dcterms:created>
  <dcterms:modified xsi:type="dcterms:W3CDTF">2020-08-26T13:47:00Z</dcterms:modified>
</cp:coreProperties>
</file>